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5256" w14:textId="77777777" w:rsidR="00A6032A" w:rsidRDefault="006C4A89">
      <w:pPr>
        <w:spacing w:line="360" w:lineRule="auto"/>
        <w:rPr>
          <w:b/>
          <w:sz w:val="22"/>
        </w:rPr>
      </w:pPr>
      <w:r>
        <w:rPr>
          <w:b/>
          <w:sz w:val="22"/>
        </w:rPr>
        <w:t>The WA Forest Conflict: The Construction of the Political Effectiveness of Advocacy Organisations</w:t>
      </w:r>
    </w:p>
    <w:p w14:paraId="2B836404" w14:textId="77777777" w:rsidR="00A6032A" w:rsidRDefault="006C4A89">
      <w:pPr>
        <w:spacing w:line="360" w:lineRule="auto"/>
        <w:ind w:firstLine="720"/>
        <w:rPr>
          <w:sz w:val="22"/>
        </w:rPr>
      </w:pPr>
      <w:r>
        <w:rPr>
          <w:sz w:val="22"/>
        </w:rPr>
        <w:t>David Worth</w:t>
      </w:r>
    </w:p>
    <w:p w14:paraId="6AA0BED3" w14:textId="77777777" w:rsidR="00A6032A" w:rsidRDefault="006C4A89">
      <w:pPr>
        <w:spacing w:line="360" w:lineRule="auto"/>
        <w:ind w:firstLine="720"/>
        <w:jc w:val="both"/>
        <w:rPr>
          <w:sz w:val="22"/>
        </w:rPr>
      </w:pPr>
      <w:r>
        <w:rPr>
          <w:sz w:val="22"/>
        </w:rPr>
        <w:t xml:space="preserve">Ian Marsh contends that in Australia ‘every major addition to the political agenda in the past decade was originally championed by an issue </w:t>
      </w:r>
      <w:r>
        <w:rPr>
          <w:sz w:val="22"/>
        </w:rPr>
        <w:t>movement’.</w:t>
      </w:r>
      <w:r>
        <w:rPr>
          <w:rStyle w:val="EndnoteReference"/>
          <w:sz w:val="22"/>
        </w:rPr>
        <w:endnoteReference w:id="1"/>
      </w:r>
      <w:r>
        <w:rPr>
          <w:sz w:val="22"/>
        </w:rPr>
        <w:t xml:space="preserve"> Such a statement is heartening to those involved in ‘issues’ campaigning today. However, struggling as an activist in peace and environment organisations throughout the 1980s, I often questioned how effective we were in achieving our aims. My </w:t>
      </w:r>
      <w:r>
        <w:rPr>
          <w:sz w:val="22"/>
        </w:rPr>
        <w:t>interest in non-profit organisations (NPOs)</w:t>
      </w:r>
      <w:r>
        <w:rPr>
          <w:rStyle w:val="EndnoteReference"/>
          <w:sz w:val="22"/>
        </w:rPr>
        <w:endnoteReference w:id="2"/>
      </w:r>
      <w:r>
        <w:rPr>
          <w:sz w:val="22"/>
        </w:rPr>
        <w:t xml:space="preserve"> and their effectiveness grew from these years of working for social change in various Australian advocacy organisations.</w:t>
      </w:r>
      <w:r>
        <w:rPr>
          <w:rStyle w:val="EndnoteReference"/>
          <w:sz w:val="22"/>
        </w:rPr>
        <w:endnoteReference w:id="3"/>
      </w:r>
      <w:r>
        <w:rPr>
          <w:sz w:val="22"/>
        </w:rPr>
        <w:t xml:space="preserve"> These organisations belonged to a sub-sector of non-profit organisations demanding chan</w:t>
      </w:r>
      <w:r>
        <w:rPr>
          <w:sz w:val="22"/>
        </w:rPr>
        <w:t>ges in or by government,</w:t>
      </w:r>
      <w:r>
        <w:rPr>
          <w:rStyle w:val="EndnoteReference"/>
          <w:sz w:val="22"/>
        </w:rPr>
        <w:endnoteReference w:id="4"/>
      </w:r>
      <w:r>
        <w:rPr>
          <w:sz w:val="22"/>
        </w:rPr>
        <w:t xml:space="preserve"> and were part of broader social movements.</w:t>
      </w:r>
      <w:r>
        <w:rPr>
          <w:rStyle w:val="EndnoteReference"/>
          <w:sz w:val="22"/>
        </w:rPr>
        <w:endnoteReference w:id="5"/>
      </w:r>
      <w:r>
        <w:rPr>
          <w:sz w:val="22"/>
        </w:rPr>
        <w:t xml:space="preserve"> Marsh’s statement reveals the importance of studying social movements in an Australian setting. Similarly, Considine</w:t>
      </w:r>
      <w:r>
        <w:rPr>
          <w:rStyle w:val="EndnoteReference"/>
          <w:sz w:val="22"/>
        </w:rPr>
        <w:endnoteReference w:id="6"/>
      </w:r>
      <w:r>
        <w:rPr>
          <w:sz w:val="22"/>
        </w:rPr>
        <w:t xml:space="preserve"> identified the importance of researching environment </w:t>
      </w:r>
      <w:proofErr w:type="gramStart"/>
      <w:r>
        <w:rPr>
          <w:sz w:val="22"/>
        </w:rPr>
        <w:t>policy-makin</w:t>
      </w:r>
      <w:r>
        <w:rPr>
          <w:sz w:val="22"/>
        </w:rPr>
        <w:t>g</w:t>
      </w:r>
      <w:proofErr w:type="gramEnd"/>
      <w:r>
        <w:rPr>
          <w:sz w:val="22"/>
        </w:rPr>
        <w:t xml:space="preserve"> in an Australian State government context, as he found that this policy area was the only one where a clear majority of the new policy issues were sponsored by non-government organisations as opposed to other policy stakeholders, such as the business sec</w:t>
      </w:r>
      <w:r>
        <w:rPr>
          <w:sz w:val="22"/>
        </w:rPr>
        <w:t>tor.</w:t>
      </w:r>
    </w:p>
    <w:p w14:paraId="33C58888" w14:textId="77777777" w:rsidR="00A6032A" w:rsidRDefault="006C4A89">
      <w:pPr>
        <w:spacing w:line="360" w:lineRule="auto"/>
        <w:ind w:firstLine="720"/>
        <w:jc w:val="both"/>
        <w:rPr>
          <w:sz w:val="22"/>
        </w:rPr>
      </w:pPr>
      <w:r>
        <w:rPr>
          <w:sz w:val="22"/>
        </w:rPr>
        <w:t>This paper will discuss why two Western Australian NPOs on opposite sides of the logging debate continue to contest the policy issues after thirty years.</w:t>
      </w:r>
      <w:r>
        <w:rPr>
          <w:rStyle w:val="EndnoteReference"/>
          <w:sz w:val="22"/>
        </w:rPr>
        <w:endnoteReference w:id="7"/>
      </w:r>
      <w:r>
        <w:rPr>
          <w:sz w:val="22"/>
        </w:rPr>
        <w:t xml:space="preserve"> Implicit in this research focus is an understanding that other major Australian environmental d</w:t>
      </w:r>
      <w:r>
        <w:rPr>
          <w:sz w:val="22"/>
        </w:rPr>
        <w:t>ebates were concluded well before this period.</w:t>
      </w:r>
      <w:r>
        <w:rPr>
          <w:rStyle w:val="EndnoteReference"/>
          <w:sz w:val="22"/>
        </w:rPr>
        <w:endnoteReference w:id="8"/>
      </w:r>
      <w:r>
        <w:rPr>
          <w:sz w:val="22"/>
        </w:rPr>
        <w:t xml:space="preserve"> Why does the native forest debate remain unresolved? Surely, if either of these two organisations had been ‘effective’ in their actions over the past thirty years, then their policy proposals would have ‘tri</w:t>
      </w:r>
      <w:r>
        <w:rPr>
          <w:sz w:val="22"/>
        </w:rPr>
        <w:t>umphed’ over those of their ‘countermovement’.</w:t>
      </w:r>
      <w:r>
        <w:rPr>
          <w:rStyle w:val="EndnoteReference"/>
          <w:sz w:val="22"/>
        </w:rPr>
        <w:endnoteReference w:id="9"/>
      </w:r>
      <w:r>
        <w:rPr>
          <w:sz w:val="22"/>
        </w:rPr>
        <w:t xml:space="preserve"> This research project aims to gain an understanding of how Australian advocacy organisations are constructed as ‘effective’ by internal or external stakeholders</w:t>
      </w:r>
      <w:r>
        <w:rPr>
          <w:rStyle w:val="EndnoteReference"/>
          <w:sz w:val="22"/>
        </w:rPr>
        <w:endnoteReference w:id="10"/>
      </w:r>
      <w:r>
        <w:rPr>
          <w:sz w:val="22"/>
        </w:rPr>
        <w:t xml:space="preserve">. </w:t>
      </w:r>
      <w:proofErr w:type="gramStart"/>
      <w:r>
        <w:rPr>
          <w:sz w:val="22"/>
        </w:rPr>
        <w:t>In particular, this</w:t>
      </w:r>
      <w:proofErr w:type="gramEnd"/>
      <w:r>
        <w:rPr>
          <w:sz w:val="22"/>
        </w:rPr>
        <w:t xml:space="preserve"> paper reports on the us</w:t>
      </w:r>
      <w:r>
        <w:rPr>
          <w:sz w:val="22"/>
        </w:rPr>
        <w:t xml:space="preserve">efulness of a theoretical approach from political science, Paul </w:t>
      </w:r>
      <w:proofErr w:type="spellStart"/>
      <w:r>
        <w:rPr>
          <w:sz w:val="22"/>
        </w:rPr>
        <w:t>Schumaker’s</w:t>
      </w:r>
      <w:proofErr w:type="spellEnd"/>
      <w:r>
        <w:rPr>
          <w:sz w:val="22"/>
        </w:rPr>
        <w:t xml:space="preserve"> model of the political effectiveness of organisations.</w:t>
      </w:r>
      <w:r>
        <w:rPr>
          <w:rStyle w:val="EndnoteReference"/>
          <w:sz w:val="22"/>
        </w:rPr>
        <w:endnoteReference w:id="11"/>
      </w:r>
    </w:p>
    <w:p w14:paraId="3C13A81E" w14:textId="77777777" w:rsidR="00A6032A" w:rsidRDefault="006C4A89">
      <w:pPr>
        <w:spacing w:line="360" w:lineRule="auto"/>
        <w:ind w:firstLine="709"/>
        <w:jc w:val="both"/>
        <w:rPr>
          <w:sz w:val="22"/>
        </w:rPr>
      </w:pPr>
      <w:r>
        <w:rPr>
          <w:sz w:val="22"/>
        </w:rPr>
        <w:t>The broader research underlying this study is based on three sets of data. The first is a three-year (1998–2000) media anal</w:t>
      </w:r>
      <w:r>
        <w:rPr>
          <w:sz w:val="22"/>
        </w:rPr>
        <w:t>ysis of the local newspaper of record, the</w:t>
      </w:r>
      <w:r>
        <w:rPr>
          <w:i/>
          <w:sz w:val="22"/>
        </w:rPr>
        <w:t xml:space="preserve"> West Australian</w:t>
      </w:r>
      <w:r>
        <w:rPr>
          <w:sz w:val="22"/>
        </w:rPr>
        <w:t>, the</w:t>
      </w:r>
      <w:r>
        <w:rPr>
          <w:i/>
          <w:sz w:val="22"/>
        </w:rPr>
        <w:t xml:space="preserve"> Sunday Times</w:t>
      </w:r>
      <w:r>
        <w:rPr>
          <w:sz w:val="22"/>
        </w:rPr>
        <w:t xml:space="preserve"> and the national daily, the</w:t>
      </w:r>
      <w:r>
        <w:rPr>
          <w:i/>
          <w:sz w:val="22"/>
        </w:rPr>
        <w:t xml:space="preserve"> Australian</w:t>
      </w:r>
      <w:r>
        <w:rPr>
          <w:sz w:val="22"/>
        </w:rPr>
        <w:t xml:space="preserve">. These dates encompass the release of the Regional Forest Agreement by the Court Liberal Government and the election of the Gallop </w:t>
      </w:r>
      <w:proofErr w:type="spellStart"/>
      <w:r>
        <w:rPr>
          <w:sz w:val="22"/>
        </w:rPr>
        <w:t>Labor</w:t>
      </w:r>
      <w:proofErr w:type="spellEnd"/>
      <w:r>
        <w:rPr>
          <w:sz w:val="22"/>
        </w:rPr>
        <w:t xml:space="preserve"> Gov</w:t>
      </w:r>
      <w:r>
        <w:rPr>
          <w:sz w:val="22"/>
        </w:rPr>
        <w:t xml:space="preserve">ernment in February 2001. Both pro- and anti-logging groups were unhappy with the Court Government’s attempts to find a middle road in native forest logging policy. In contrast, the ALP promised to stop logging in ninety-nine per cent of old-growth native </w:t>
      </w:r>
      <w:r>
        <w:rPr>
          <w:sz w:val="22"/>
        </w:rPr>
        <w:t>forests if elected. The ALP won power and swiftly moved to stop logging of old growth native forests.</w:t>
      </w:r>
      <w:r>
        <w:rPr>
          <w:rStyle w:val="EndnoteReference"/>
          <w:sz w:val="22"/>
        </w:rPr>
        <w:endnoteReference w:id="12"/>
      </w:r>
      <w:r>
        <w:rPr>
          <w:sz w:val="22"/>
        </w:rPr>
        <w:t xml:space="preserve"> The second input was a study of historical material reaching back to the commencement of logging in Western Australia in 1840. These documents included </w:t>
      </w:r>
      <w:r>
        <w:rPr>
          <w:sz w:val="22"/>
        </w:rPr>
        <w:t>the analysis of three Royal Commissions into logging and forestry issues in Western Australia.</w:t>
      </w:r>
      <w:r>
        <w:rPr>
          <w:rStyle w:val="EndnoteReference"/>
          <w:b/>
          <w:sz w:val="22"/>
        </w:rPr>
        <w:endnoteReference w:id="13"/>
      </w:r>
      <w:r>
        <w:rPr>
          <w:sz w:val="22"/>
        </w:rPr>
        <w:t xml:space="preserve"> Finally, thirty interviews</w:t>
      </w:r>
      <w:r>
        <w:rPr>
          <w:rStyle w:val="EndnoteReference"/>
          <w:b/>
          <w:sz w:val="22"/>
        </w:rPr>
        <w:endnoteReference w:id="14"/>
      </w:r>
      <w:r>
        <w:rPr>
          <w:sz w:val="22"/>
        </w:rPr>
        <w:t xml:space="preserve"> were conducted with a range of internal and external stakeholders of two organisations: Liberals for Forests (LFF), who were campa</w:t>
      </w:r>
      <w:r>
        <w:rPr>
          <w:sz w:val="22"/>
        </w:rPr>
        <w:t xml:space="preserve">igning for the cessation of logging in native forests in WA; and the Timber Communities Australia (TCA), who represent the interests of the WA forest industries and their member organisations. These two organisations are </w:t>
      </w:r>
      <w:r>
        <w:rPr>
          <w:sz w:val="22"/>
        </w:rPr>
        <w:lastRenderedPageBreak/>
        <w:t>counter-movements,</w:t>
      </w:r>
      <w:r>
        <w:rPr>
          <w:rStyle w:val="EndnoteReference"/>
          <w:b/>
          <w:sz w:val="22"/>
        </w:rPr>
        <w:endnoteReference w:id="15"/>
      </w:r>
      <w:r>
        <w:rPr>
          <w:sz w:val="22"/>
        </w:rPr>
        <w:t xml:space="preserve"> or NPOs with d</w:t>
      </w:r>
      <w:r>
        <w:rPr>
          <w:sz w:val="22"/>
        </w:rPr>
        <w:t xml:space="preserve">iametrically opposite views as to how native forests should be managed in Western Australia. The interviews were conducted with policy network members identified from the newspaper analysis and a focus group of tertiary environmental studies students. The </w:t>
      </w:r>
      <w:r>
        <w:rPr>
          <w:sz w:val="22"/>
        </w:rPr>
        <w:t xml:space="preserve">interview questions were a mix of open-ended and closed questions. </w:t>
      </w:r>
      <w:proofErr w:type="spellStart"/>
      <w:r>
        <w:rPr>
          <w:sz w:val="22"/>
        </w:rPr>
        <w:t>Schumaker’s</w:t>
      </w:r>
      <w:proofErr w:type="spellEnd"/>
      <w:r>
        <w:rPr>
          <w:sz w:val="22"/>
        </w:rPr>
        <w:t xml:space="preserve"> framework was described to the interviewees, who were then asked to rate the political effectiveness of the two organisations being studied — TCA and LFF. </w:t>
      </w:r>
    </w:p>
    <w:p w14:paraId="59255127" w14:textId="77777777" w:rsidR="00A6032A" w:rsidRDefault="006C4A89">
      <w:pPr>
        <w:spacing w:line="360" w:lineRule="auto"/>
        <w:jc w:val="both"/>
        <w:rPr>
          <w:b/>
          <w:sz w:val="22"/>
        </w:rPr>
      </w:pPr>
      <w:r>
        <w:rPr>
          <w:b/>
          <w:sz w:val="22"/>
        </w:rPr>
        <w:t>Advocacy organisation</w:t>
      </w:r>
      <w:r>
        <w:rPr>
          <w:b/>
          <w:sz w:val="22"/>
        </w:rPr>
        <w:t>s: the problems of analysis</w:t>
      </w:r>
    </w:p>
    <w:p w14:paraId="07A71F3C" w14:textId="77777777" w:rsidR="00A6032A" w:rsidRDefault="006C4A89">
      <w:pPr>
        <w:spacing w:line="360" w:lineRule="auto"/>
        <w:ind w:firstLine="720"/>
        <w:jc w:val="both"/>
        <w:rPr>
          <w:b/>
          <w:i/>
          <w:sz w:val="22"/>
        </w:rPr>
      </w:pPr>
      <w:r>
        <w:rPr>
          <w:sz w:val="22"/>
        </w:rPr>
        <w:t xml:space="preserve">In his seminal work, Rudolf </w:t>
      </w:r>
      <w:proofErr w:type="spellStart"/>
      <w:r>
        <w:rPr>
          <w:sz w:val="22"/>
        </w:rPr>
        <w:t>Heberle</w:t>
      </w:r>
      <w:proofErr w:type="spellEnd"/>
      <w:r>
        <w:rPr>
          <w:sz w:val="22"/>
        </w:rPr>
        <w:t xml:space="preserve"> stressed that the main criterion of a social movement was that it aimed to bring about ‘fundamental changes in the social order’.</w:t>
      </w:r>
      <w:r>
        <w:rPr>
          <w:rStyle w:val="EndnoteReference"/>
          <w:sz w:val="22"/>
        </w:rPr>
        <w:endnoteReference w:id="16"/>
      </w:r>
      <w:r>
        <w:rPr>
          <w:sz w:val="22"/>
        </w:rPr>
        <w:t xml:space="preserve"> Individual advocacy organisations that are part of important</w:t>
      </w:r>
      <w:r>
        <w:rPr>
          <w:sz w:val="22"/>
        </w:rPr>
        <w:t xml:space="preserve"> social movements range from those that seek revolutionary change to those with small but concrete goals (for example, an organisation campaigning for women’s refuges as part of the broader women’s movement). The definition of an advocacy organisation used</w:t>
      </w:r>
      <w:r>
        <w:rPr>
          <w:sz w:val="22"/>
        </w:rPr>
        <w:t xml:space="preserve"> in this research is an amended version of Craig Jenkins’s widely cited definition: ‘An advocacy organisation is one that attempts to influence the social and political decisions of an institutional elite,</w:t>
      </w:r>
      <w:r>
        <w:rPr>
          <w:rStyle w:val="EndnoteReference"/>
          <w:sz w:val="22"/>
        </w:rPr>
        <w:endnoteReference w:id="17"/>
      </w:r>
      <w:r>
        <w:rPr>
          <w:sz w:val="22"/>
        </w:rPr>
        <w:t xml:space="preserve"> the outcomes of which benefit a broader range of</w:t>
      </w:r>
      <w:r>
        <w:rPr>
          <w:sz w:val="22"/>
        </w:rPr>
        <w:t xml:space="preserve"> society than just its own members’.</w:t>
      </w:r>
      <w:r>
        <w:rPr>
          <w:rStyle w:val="EndnoteReference"/>
          <w:sz w:val="22"/>
        </w:rPr>
        <w:t xml:space="preserve"> </w:t>
      </w:r>
      <w:r>
        <w:rPr>
          <w:rStyle w:val="EndnoteReference"/>
          <w:sz w:val="22"/>
        </w:rPr>
        <w:endnoteReference w:id="18"/>
      </w:r>
    </w:p>
    <w:p w14:paraId="31660103" w14:textId="77777777" w:rsidR="00A6032A" w:rsidRDefault="006C4A89">
      <w:pPr>
        <w:spacing w:line="360" w:lineRule="auto"/>
        <w:ind w:firstLine="720"/>
        <w:jc w:val="both"/>
        <w:rPr>
          <w:sz w:val="22"/>
        </w:rPr>
      </w:pPr>
      <w:r>
        <w:rPr>
          <w:sz w:val="22"/>
        </w:rPr>
        <w:t xml:space="preserve">Australian advocacy organisations are part of a broader non-profit sector that ranges from small voluntary groups to large hospitals and universities, from sports clubs to unions and political parties. Mark </w:t>
      </w:r>
      <w:r>
        <w:rPr>
          <w:sz w:val="22"/>
        </w:rPr>
        <w:t>Lyons estimates that in 1991 there were about 110,000 NPOs in Australia.</w:t>
      </w:r>
      <w:r>
        <w:rPr>
          <w:rStyle w:val="EndnoteReference"/>
          <w:sz w:val="22"/>
        </w:rPr>
        <w:endnoteReference w:id="19"/>
      </w:r>
      <w:r>
        <w:rPr>
          <w:sz w:val="22"/>
        </w:rPr>
        <w:t xml:space="preserve"> The vast scope of the Australian non-profit sector can be indicated by the fact that during the period 1995–96 Lyons and Hocking estimated that NPOs spent between 27 billion and 43 </w:t>
      </w:r>
      <w:r>
        <w:rPr>
          <w:sz w:val="22"/>
        </w:rPr>
        <w:t>billion Australian dollars.</w:t>
      </w:r>
      <w:r>
        <w:rPr>
          <w:rStyle w:val="EndnoteReference"/>
          <w:sz w:val="22"/>
        </w:rPr>
        <w:endnoteReference w:id="20"/>
      </w:r>
      <w:r>
        <w:rPr>
          <w:sz w:val="22"/>
        </w:rPr>
        <w:t xml:space="preserve"> Lyons indicates that approximately 47,000 people are employed in the ‘interest group’ (or advocacy organisations) sub-sector alone, and these organisations spent about 3 billion dollars during 1995</w:t>
      </w:r>
      <w:r>
        <w:t>–</w:t>
      </w:r>
      <w:r>
        <w:rPr>
          <w:sz w:val="22"/>
        </w:rPr>
        <w:t>96.</w:t>
      </w:r>
      <w:r>
        <w:rPr>
          <w:rStyle w:val="EndnoteReference"/>
          <w:sz w:val="22"/>
        </w:rPr>
        <w:endnoteReference w:id="21"/>
      </w:r>
      <w:r>
        <w:rPr>
          <w:sz w:val="22"/>
        </w:rPr>
        <w:t xml:space="preserve"> Many of these groups are small and rely on volunteers to operate. Lyons and Hocking estimate that Australians over the age of fifteen volunteered approximately 20 million hours to these advocacy organisations.</w:t>
      </w:r>
      <w:r>
        <w:rPr>
          <w:rStyle w:val="EndnoteReference"/>
          <w:sz w:val="22"/>
        </w:rPr>
        <w:endnoteReference w:id="22"/>
      </w:r>
      <w:r>
        <w:rPr>
          <w:sz w:val="22"/>
        </w:rPr>
        <w:t xml:space="preserve"> This is equivalent to about one-tenth of th</w:t>
      </w:r>
      <w:r>
        <w:rPr>
          <w:sz w:val="22"/>
        </w:rPr>
        <w:t>e Australian public volunteering one hour per month to advocacy groups.</w:t>
      </w:r>
    </w:p>
    <w:p w14:paraId="31419D1E" w14:textId="77777777" w:rsidR="00A6032A" w:rsidRDefault="006C4A89">
      <w:pPr>
        <w:pStyle w:val="BodyText2"/>
        <w:ind w:firstLine="720"/>
        <w:jc w:val="both"/>
      </w:pPr>
      <w:r>
        <w:t>Despite this activity aimed at changing important aspects of Australia’s political and social landscape, there has been little research undertaken as to the effectiveness of Australian</w:t>
      </w:r>
      <w:r>
        <w:t xml:space="preserve"> advocacy organisations. A comparable research gap was identified by Jo Freeman in her study of the North American feminist movement. She comments, ‘The study of social movements and that of public policy are two fields that have heretofore been treated pr</w:t>
      </w:r>
      <w:r>
        <w:t>imarily as distinct and unrelated areas in the scholarly literature’.</w:t>
      </w:r>
      <w:r>
        <w:rPr>
          <w:rStyle w:val="EndnoteReference"/>
        </w:rPr>
        <w:endnoteReference w:id="23"/>
      </w:r>
      <w:r>
        <w:t xml:space="preserve"> My study hopes to draw these two separate fields together, but to do so we must further explore the concept of ‘effectiveness’.</w:t>
      </w:r>
    </w:p>
    <w:p w14:paraId="3D35573F" w14:textId="77777777" w:rsidR="00A6032A" w:rsidRDefault="00A6032A">
      <w:pPr>
        <w:spacing w:line="360" w:lineRule="auto"/>
        <w:jc w:val="both"/>
        <w:rPr>
          <w:b/>
          <w:sz w:val="22"/>
        </w:rPr>
      </w:pPr>
    </w:p>
    <w:p w14:paraId="4260F370" w14:textId="77777777" w:rsidR="00A6032A" w:rsidRDefault="006C4A89">
      <w:pPr>
        <w:spacing w:line="360" w:lineRule="auto"/>
        <w:ind w:left="1134" w:right="652"/>
        <w:jc w:val="both"/>
        <w:rPr>
          <w:sz w:val="22"/>
        </w:rPr>
      </w:pPr>
      <w:r>
        <w:rPr>
          <w:sz w:val="22"/>
        </w:rPr>
        <w:t>Effectiveness is one of the strongest and most persiste</w:t>
      </w:r>
      <w:r>
        <w:rPr>
          <w:sz w:val="22"/>
        </w:rPr>
        <w:t>nt themes in the literature on organisations. Most theories of organisations introduce effectiveness considerations, and many research reports comparing organisations claim to speak to effectiveness issues. Despite the considerable activity, there is littl</w:t>
      </w:r>
      <w:r>
        <w:rPr>
          <w:sz w:val="22"/>
        </w:rPr>
        <w:t xml:space="preserve">e evidence of </w:t>
      </w:r>
      <w:r>
        <w:rPr>
          <w:sz w:val="22"/>
        </w:rPr>
        <w:lastRenderedPageBreak/>
        <w:t>any cumulation of knowledge concerning the relationship of organisational characteristics to effectiveness.</w:t>
      </w:r>
      <w:r>
        <w:rPr>
          <w:rStyle w:val="EndnoteReference"/>
          <w:sz w:val="22"/>
        </w:rPr>
        <w:endnoteReference w:id="24"/>
      </w:r>
    </w:p>
    <w:p w14:paraId="1C67EA94" w14:textId="77777777" w:rsidR="00A6032A" w:rsidRDefault="006C4A89">
      <w:pPr>
        <w:spacing w:line="360" w:lineRule="auto"/>
        <w:ind w:firstLine="720"/>
        <w:jc w:val="both"/>
        <w:rPr>
          <w:sz w:val="22"/>
        </w:rPr>
      </w:pPr>
      <w:r>
        <w:rPr>
          <w:sz w:val="22"/>
        </w:rPr>
        <w:t>The task of determining the effectiveness of social advocacy organisations is complicated by the research methods used to assess for</w:t>
      </w:r>
      <w:r>
        <w:rPr>
          <w:sz w:val="22"/>
        </w:rPr>
        <w:t xml:space="preserve">-profit organisations. The for-profit sector has </w:t>
      </w:r>
      <w:proofErr w:type="gramStart"/>
      <w:r>
        <w:rPr>
          <w:sz w:val="22"/>
        </w:rPr>
        <w:t>a number of</w:t>
      </w:r>
      <w:proofErr w:type="gramEnd"/>
      <w:r>
        <w:rPr>
          <w:sz w:val="22"/>
        </w:rPr>
        <w:t xml:space="preserve"> agreed methodologies for determining the efficiency and effectiveness of individual businesses. For example, the stock exchange provides an immediate and public indication of how the market belie</w:t>
      </w:r>
      <w:r>
        <w:rPr>
          <w:sz w:val="22"/>
        </w:rPr>
        <w:t>ves listed companies are performing. The price with which investors are willing to invest in a particular company provides its board and management with immediate feedback on how effective they are perceived to be by critical stakeholders. For some non-pro</w:t>
      </w:r>
      <w:r>
        <w:rPr>
          <w:sz w:val="22"/>
        </w:rPr>
        <w:t>fit organisations in sectors with for-profit counterparts (for example, hospitals) there are effectiveness indicators that are used in both sectors and are reasonably easy to calculate (for example, bed usage rates).</w:t>
      </w:r>
      <w:r>
        <w:rPr>
          <w:rStyle w:val="EndnoteReference"/>
          <w:sz w:val="22"/>
        </w:rPr>
        <w:endnoteReference w:id="25"/>
      </w:r>
      <w:r>
        <w:rPr>
          <w:sz w:val="22"/>
        </w:rPr>
        <w:t xml:space="preserve"> However, for advocacy organisations, </w:t>
      </w:r>
      <w:r>
        <w:rPr>
          <w:sz w:val="22"/>
        </w:rPr>
        <w:t xml:space="preserve">the question of organisational and management effectiveness is very difficult to assess, as their main goal is to assist in changing a societal value or governmental policy. Even if the goal is achieved, it may be difficult to link the </w:t>
      </w:r>
      <w:proofErr w:type="gramStart"/>
      <w:r>
        <w:rPr>
          <w:sz w:val="22"/>
        </w:rPr>
        <w:t>particular actions</w:t>
      </w:r>
      <w:proofErr w:type="gramEnd"/>
      <w:r>
        <w:rPr>
          <w:sz w:val="22"/>
        </w:rPr>
        <w:t xml:space="preserve"> a</w:t>
      </w:r>
      <w:r>
        <w:rPr>
          <w:sz w:val="22"/>
        </w:rPr>
        <w:t xml:space="preserve">nd strategies of an individual advocacy organisation with any subsequent policy shift. </w:t>
      </w:r>
      <w:proofErr w:type="gramStart"/>
      <w:r>
        <w:rPr>
          <w:sz w:val="22"/>
        </w:rPr>
        <w:t>In regard to</w:t>
      </w:r>
      <w:proofErr w:type="gramEnd"/>
      <w:r>
        <w:rPr>
          <w:sz w:val="22"/>
        </w:rPr>
        <w:t xml:space="preserve"> advocacy organisations, William </w:t>
      </w:r>
      <w:proofErr w:type="spellStart"/>
      <w:r>
        <w:rPr>
          <w:sz w:val="22"/>
        </w:rPr>
        <w:t>Gamson</w:t>
      </w:r>
      <w:proofErr w:type="spellEnd"/>
      <w:r>
        <w:rPr>
          <w:sz w:val="22"/>
        </w:rPr>
        <w:t xml:space="preserve"> warns that ‘there is no more ticklish issue in studying social protest than deciding what constitutes success’.</w:t>
      </w:r>
      <w:r>
        <w:rPr>
          <w:rStyle w:val="EndnoteReference"/>
          <w:sz w:val="22"/>
        </w:rPr>
        <w:endnoteReference w:id="26"/>
      </w:r>
      <w:r>
        <w:rPr>
          <w:sz w:val="22"/>
        </w:rPr>
        <w:t xml:space="preserve"> Man</w:t>
      </w:r>
      <w:r>
        <w:rPr>
          <w:sz w:val="22"/>
        </w:rPr>
        <w:t>y of the past and present theories of organisations speak to and of effectiveness — the central (and contested) dimension of my research project. To propose a framework for evaluating the effectiveness of specific social advocacy organisations, it is helpf</w:t>
      </w:r>
      <w:r>
        <w:rPr>
          <w:sz w:val="22"/>
        </w:rPr>
        <w:t>ul to describe how the understanding of ‘effectiveness’ has changed over the past five decades.</w:t>
      </w:r>
    </w:p>
    <w:p w14:paraId="599EEFE7" w14:textId="77777777" w:rsidR="00A6032A" w:rsidRDefault="006C4A89">
      <w:pPr>
        <w:spacing w:line="360" w:lineRule="auto"/>
        <w:ind w:firstLine="720"/>
        <w:jc w:val="both"/>
        <w:rPr>
          <w:sz w:val="22"/>
        </w:rPr>
      </w:pPr>
      <w:r>
        <w:rPr>
          <w:sz w:val="22"/>
        </w:rPr>
        <w:t>The goal-attainment approach was an early model of assessment. Robert Thorndike was one of the first authors to note a general trend among organisational resear</w:t>
      </w:r>
      <w:r>
        <w:rPr>
          <w:sz w:val="22"/>
        </w:rPr>
        <w:t>chers to measure effectiveness, especially in terms of the accomplishment of some ultimate criterion or goal.</w:t>
      </w:r>
      <w:r>
        <w:rPr>
          <w:rStyle w:val="EndnoteReference"/>
          <w:sz w:val="22"/>
        </w:rPr>
        <w:endnoteReference w:id="27"/>
      </w:r>
      <w:r>
        <w:rPr>
          <w:sz w:val="22"/>
        </w:rPr>
        <w:t xml:space="preserve"> Chester Barnard carefully distinguished effectiveness from efficiency and proposed one of the earliest and most general definitions of organisat</w:t>
      </w:r>
      <w:r>
        <w:rPr>
          <w:sz w:val="22"/>
        </w:rPr>
        <w:t>ional effectiveness as ‘the ability of an organisation to bring about some objective state of affairs’.</w:t>
      </w:r>
      <w:r>
        <w:rPr>
          <w:rStyle w:val="EndnoteReference"/>
          <w:sz w:val="22"/>
        </w:rPr>
        <w:endnoteReference w:id="28"/>
      </w:r>
      <w:r>
        <w:rPr>
          <w:sz w:val="22"/>
        </w:rPr>
        <w:t xml:space="preserve"> John Campbell refines this definition slightly further by defining organisational effectiveness as ‘the degree to which the task objectives (or goals)</w:t>
      </w:r>
      <w:r>
        <w:rPr>
          <w:sz w:val="22"/>
        </w:rPr>
        <w:t xml:space="preserve"> judged to be “ends” should be accomplished, given the prevailing conditions in which the organisation must work’.</w:t>
      </w:r>
      <w:r>
        <w:rPr>
          <w:rStyle w:val="EndnoteReference"/>
          <w:sz w:val="22"/>
        </w:rPr>
        <w:endnoteReference w:id="29"/>
      </w:r>
      <w:r>
        <w:rPr>
          <w:sz w:val="22"/>
        </w:rPr>
        <w:t xml:space="preserve"> James Price on the other hand states bluntly that ‘effectiveness is defined as the degree of goal-achievement’.</w:t>
      </w:r>
      <w:r>
        <w:rPr>
          <w:rStyle w:val="EndnoteReference"/>
          <w:sz w:val="22"/>
        </w:rPr>
        <w:endnoteReference w:id="30"/>
      </w:r>
      <w:r>
        <w:rPr>
          <w:sz w:val="22"/>
        </w:rPr>
        <w:t xml:space="preserve"> While goal attainment was</w:t>
      </w:r>
      <w:r>
        <w:rPr>
          <w:sz w:val="22"/>
        </w:rPr>
        <w:t xml:space="preserve"> the major measure of effectiveness in these early studies, later writers posed questions in regard to ‘whose goals’ were being achieved. This question reflects the evidence gathered between 1950 and 1970 on research into organisational effectiveness and g</w:t>
      </w:r>
      <w:r>
        <w:rPr>
          <w:sz w:val="22"/>
        </w:rPr>
        <w:t>oal attainment. This research found that within organisations there was a lack of agreement in relation to what were the organisation’s actual goals. Stephen Robbins posed the question as to whether studies should focus on the organisation’s officially sta</w:t>
      </w:r>
      <w:r>
        <w:rPr>
          <w:sz w:val="22"/>
        </w:rPr>
        <w:t>ted goals, or use the actual or operative goals, or the informal goals uncovered by research.</w:t>
      </w:r>
      <w:r>
        <w:rPr>
          <w:rStyle w:val="EndnoteReference"/>
          <w:sz w:val="22"/>
        </w:rPr>
        <w:endnoteReference w:id="31"/>
      </w:r>
      <w:r>
        <w:rPr>
          <w:sz w:val="22"/>
        </w:rPr>
        <w:t xml:space="preserve"> Michael Hannan and John Freeman tried to resolve this complexity by arguing that survival is the organisation’s most critical goal.</w:t>
      </w:r>
      <w:r>
        <w:rPr>
          <w:rStyle w:val="EndnoteReference"/>
          <w:sz w:val="22"/>
        </w:rPr>
        <w:endnoteReference w:id="32"/>
      </w:r>
      <w:r>
        <w:rPr>
          <w:sz w:val="22"/>
        </w:rPr>
        <w:t xml:space="preserve"> Weick suggests the closely</w:t>
      </w:r>
      <w:r>
        <w:rPr>
          <w:sz w:val="22"/>
        </w:rPr>
        <w:t xml:space="preserve"> related concept of adaptability as the critical organisational characteristic or goal.</w:t>
      </w:r>
      <w:r>
        <w:rPr>
          <w:rStyle w:val="EndnoteReference"/>
          <w:sz w:val="22"/>
        </w:rPr>
        <w:endnoteReference w:id="33"/>
      </w:r>
      <w:r>
        <w:rPr>
          <w:sz w:val="22"/>
        </w:rPr>
        <w:t xml:space="preserve"> These </w:t>
      </w:r>
      <w:r>
        <w:rPr>
          <w:sz w:val="22"/>
        </w:rPr>
        <w:lastRenderedPageBreak/>
        <w:t xml:space="preserve">present significant theoretical problems for those evaluating the work of advocacy organisations. All advocacy organisations have stated </w:t>
      </w:r>
      <w:proofErr w:type="gramStart"/>
      <w:r>
        <w:rPr>
          <w:sz w:val="22"/>
        </w:rPr>
        <w:t>goals, but</w:t>
      </w:r>
      <w:proofErr w:type="gramEnd"/>
      <w:r>
        <w:rPr>
          <w:sz w:val="22"/>
        </w:rPr>
        <w:t xml:space="preserve"> may actually</w:t>
      </w:r>
      <w:r>
        <w:rPr>
          <w:sz w:val="22"/>
        </w:rPr>
        <w:t xml:space="preserve"> be trying to achieve some other short- or medium-term goal within their political environment. For example, the National Roads and Motorists’ Association (NRMA), based in New South Wales, is a NPO that was established to provide motoring assistance to its</w:t>
      </w:r>
      <w:r>
        <w:rPr>
          <w:sz w:val="22"/>
        </w:rPr>
        <w:t xml:space="preserve"> members; however, it has recently been advocating environmental programs to reduce air pollution in Sydney.</w:t>
      </w:r>
      <w:r>
        <w:rPr>
          <w:rStyle w:val="EndnoteReference"/>
          <w:b/>
          <w:sz w:val="22"/>
        </w:rPr>
        <w:endnoteReference w:id="34"/>
      </w:r>
      <w:r>
        <w:rPr>
          <w:sz w:val="22"/>
        </w:rPr>
        <w:t xml:space="preserve"> Some advocacy organisations may have what could be termed ‘impossible goals’ (such as preventing global warming or achieving global nuclear disar</w:t>
      </w:r>
      <w:r>
        <w:rPr>
          <w:sz w:val="22"/>
        </w:rPr>
        <w:t>mament) that would make the evaluation of their effectiveness difficult over the short or medium term.</w:t>
      </w:r>
      <w:r>
        <w:rPr>
          <w:rStyle w:val="EndnoteReference"/>
          <w:sz w:val="22"/>
        </w:rPr>
        <w:endnoteReference w:id="35"/>
      </w:r>
    </w:p>
    <w:p w14:paraId="41665D57" w14:textId="77777777" w:rsidR="00A6032A" w:rsidRDefault="006C4A89">
      <w:pPr>
        <w:spacing w:line="360" w:lineRule="auto"/>
        <w:ind w:firstLine="720"/>
        <w:jc w:val="both"/>
        <w:rPr>
          <w:sz w:val="22"/>
        </w:rPr>
      </w:pPr>
      <w:r>
        <w:rPr>
          <w:sz w:val="22"/>
        </w:rPr>
        <w:t xml:space="preserve">In response to the difficulty of clearly defining effectiveness in terms of goal achievement or a single unique criterion, researchers then </w:t>
      </w:r>
      <w:r>
        <w:rPr>
          <w:sz w:val="22"/>
        </w:rPr>
        <w:t>proposed an alternate organisational effectiveness model based on defining an organisation as an open system.</w:t>
      </w:r>
      <w:r>
        <w:rPr>
          <w:rStyle w:val="EndnoteReference"/>
          <w:sz w:val="22"/>
        </w:rPr>
        <w:endnoteReference w:id="36"/>
      </w:r>
      <w:r>
        <w:rPr>
          <w:sz w:val="22"/>
        </w:rPr>
        <w:t xml:space="preserve"> Georgopoulos and Tannenbaum proposed the ‘systems approach’ as early as 1957, but it was not widely adopted until the goal-attainment model was </w:t>
      </w:r>
      <w:r>
        <w:rPr>
          <w:sz w:val="22"/>
        </w:rPr>
        <w:t>shown to be of limited theoretical usefulness. They believed that focusing on univariate measures was inconsistent with the broad meaning attached to effectiveness in the research literature.</w:t>
      </w:r>
      <w:r>
        <w:rPr>
          <w:rStyle w:val="EndnoteReference"/>
          <w:sz w:val="22"/>
        </w:rPr>
        <w:endnoteReference w:id="37"/>
      </w:r>
      <w:r>
        <w:rPr>
          <w:sz w:val="22"/>
        </w:rPr>
        <w:t xml:space="preserve"> Another early convert to this new approach was </w:t>
      </w:r>
      <w:proofErr w:type="spellStart"/>
      <w:r>
        <w:rPr>
          <w:sz w:val="22"/>
        </w:rPr>
        <w:t>Amitai</w:t>
      </w:r>
      <w:proofErr w:type="spellEnd"/>
      <w:r>
        <w:rPr>
          <w:sz w:val="22"/>
        </w:rPr>
        <w:t xml:space="preserve"> Etzioni,</w:t>
      </w:r>
      <w:r>
        <w:rPr>
          <w:rStyle w:val="EndnoteReference"/>
          <w:sz w:val="22"/>
        </w:rPr>
        <w:endnoteReference w:id="38"/>
      </w:r>
      <w:r>
        <w:rPr>
          <w:sz w:val="22"/>
        </w:rPr>
        <w:t xml:space="preserve"> who also criticised the then-prevailing goal-centred approach. His systems view emphasises that the factors likely to increase the long-term success of an organisation are its ability to acquire resources and maintain itself as an on-going organism, as </w:t>
      </w:r>
      <w:r>
        <w:rPr>
          <w:sz w:val="22"/>
        </w:rPr>
        <w:t xml:space="preserve">well as to attain its goals successfully. Organisations are seen as sub-units of the enveloping business or policy </w:t>
      </w:r>
      <w:proofErr w:type="gramStart"/>
      <w:r>
        <w:rPr>
          <w:sz w:val="22"/>
        </w:rPr>
        <w:t>environment, and</w:t>
      </w:r>
      <w:proofErr w:type="gramEnd"/>
      <w:r>
        <w:rPr>
          <w:sz w:val="22"/>
        </w:rPr>
        <w:t xml:space="preserve"> need to draw essential resources from this environment to survive and prosper. This approach is also known in the non-profit</w:t>
      </w:r>
      <w:r>
        <w:rPr>
          <w:sz w:val="22"/>
        </w:rPr>
        <w:t xml:space="preserve"> research sector as the ‘resource mobilisation’ theory.</w:t>
      </w:r>
      <w:r>
        <w:rPr>
          <w:rStyle w:val="EndnoteReference"/>
          <w:sz w:val="22"/>
        </w:rPr>
        <w:endnoteReference w:id="39"/>
      </w:r>
      <w:r>
        <w:rPr>
          <w:sz w:val="22"/>
        </w:rPr>
        <w:t xml:space="preserve"> </w:t>
      </w:r>
    </w:p>
    <w:p w14:paraId="0F17A614" w14:textId="77777777" w:rsidR="00A6032A" w:rsidRDefault="006C4A89">
      <w:pPr>
        <w:spacing w:line="360" w:lineRule="auto"/>
        <w:ind w:firstLine="720"/>
        <w:jc w:val="both"/>
        <w:rPr>
          <w:sz w:val="22"/>
        </w:rPr>
      </w:pPr>
      <w:r>
        <w:rPr>
          <w:sz w:val="22"/>
        </w:rPr>
        <w:t>The latest insight in ‘the grail-like search for a unified framework’</w:t>
      </w:r>
      <w:r>
        <w:rPr>
          <w:rStyle w:val="EndnoteReference"/>
          <w:sz w:val="22"/>
        </w:rPr>
        <w:endnoteReference w:id="40"/>
      </w:r>
      <w:r>
        <w:rPr>
          <w:sz w:val="22"/>
        </w:rPr>
        <w:t xml:space="preserve"> was provided by Terry Connolly et al</w:t>
      </w:r>
      <w:r>
        <w:rPr>
          <w:i/>
          <w:sz w:val="22"/>
        </w:rPr>
        <w:t>.</w:t>
      </w:r>
      <w:r>
        <w:rPr>
          <w:sz w:val="22"/>
        </w:rPr>
        <w:t>, who argue that the answer to the question of how well an organisation is performing is</w:t>
      </w:r>
      <w:r>
        <w:rPr>
          <w:sz w:val="22"/>
        </w:rPr>
        <w:t xml:space="preserve"> inevitably contingent on whom one is asking.</w:t>
      </w:r>
      <w:r>
        <w:rPr>
          <w:rStyle w:val="EndnoteReference"/>
          <w:sz w:val="22"/>
        </w:rPr>
        <w:endnoteReference w:id="41"/>
      </w:r>
      <w:r>
        <w:rPr>
          <w:sz w:val="22"/>
        </w:rPr>
        <w:t xml:space="preserve"> They propose that effectiveness is a multi-constituency social construction and that the goal and system approaches are only partial insights into organisational effectiveness.</w:t>
      </w:r>
      <w:r>
        <w:rPr>
          <w:rStyle w:val="EndnoteReference"/>
          <w:sz w:val="22"/>
        </w:rPr>
        <w:endnoteReference w:id="42"/>
      </w:r>
      <w:r>
        <w:rPr>
          <w:sz w:val="22"/>
        </w:rPr>
        <w:t xml:space="preserve"> Robbins identifies a more rec</w:t>
      </w:r>
      <w:r>
        <w:rPr>
          <w:sz w:val="22"/>
        </w:rPr>
        <w:t>ent refinement of this approach as the ‘strategic constituencies model’.</w:t>
      </w:r>
      <w:r>
        <w:rPr>
          <w:rStyle w:val="EndnoteReference"/>
          <w:sz w:val="22"/>
        </w:rPr>
        <w:endnoteReference w:id="43"/>
      </w:r>
      <w:r>
        <w:rPr>
          <w:sz w:val="22"/>
        </w:rPr>
        <w:t xml:space="preserve"> These are the constituencies or stakeholders in the organisation’s environment that are critical to its survival. For an advocacy organisation, these constituencies could be seen as</w:t>
      </w:r>
      <w:r>
        <w:rPr>
          <w:sz w:val="22"/>
        </w:rPr>
        <w:t xml:space="preserve"> the political ‘elite’ within their chosen sphere of activity. This social construct approach was extended by Raymond </w:t>
      </w:r>
      <w:proofErr w:type="spellStart"/>
      <w:r>
        <w:rPr>
          <w:sz w:val="22"/>
        </w:rPr>
        <w:t>Zammuto’s</w:t>
      </w:r>
      <w:proofErr w:type="spellEnd"/>
      <w:r>
        <w:rPr>
          <w:sz w:val="22"/>
        </w:rPr>
        <w:t xml:space="preserve"> proposal that there are multiple constituency models of effectiveness with both direct and indirect constituencies that need to </w:t>
      </w:r>
      <w:r>
        <w:rPr>
          <w:sz w:val="22"/>
        </w:rPr>
        <w:t>be considered.</w:t>
      </w:r>
      <w:r>
        <w:rPr>
          <w:rStyle w:val="EndnoteReference"/>
          <w:sz w:val="22"/>
        </w:rPr>
        <w:endnoteReference w:id="44"/>
      </w:r>
      <w:r>
        <w:rPr>
          <w:sz w:val="22"/>
        </w:rPr>
        <w:t xml:space="preserve"> In this research project, the direct or strategic external constituencies of advocacy organisations within the political environment in which they operate would seem to be members of a policy network</w:t>
      </w:r>
      <w:r>
        <w:rPr>
          <w:rStyle w:val="EndnoteReference"/>
          <w:sz w:val="22"/>
        </w:rPr>
        <w:endnoteReference w:id="45"/>
      </w:r>
      <w:r>
        <w:rPr>
          <w:sz w:val="22"/>
        </w:rPr>
        <w:t xml:space="preserve"> that includes the media, academics, bureaucrats, </w:t>
      </w:r>
      <w:proofErr w:type="gramStart"/>
      <w:r>
        <w:rPr>
          <w:sz w:val="22"/>
        </w:rPr>
        <w:t>poli</w:t>
      </w:r>
      <w:r>
        <w:rPr>
          <w:sz w:val="22"/>
        </w:rPr>
        <w:t>ticians</w:t>
      </w:r>
      <w:proofErr w:type="gramEnd"/>
      <w:r>
        <w:rPr>
          <w:sz w:val="22"/>
        </w:rPr>
        <w:t xml:space="preserve"> and the business sector.</w:t>
      </w:r>
      <w:r>
        <w:rPr>
          <w:rStyle w:val="EndnoteReference"/>
          <w:sz w:val="22"/>
        </w:rPr>
        <w:endnoteReference w:id="46"/>
      </w:r>
    </w:p>
    <w:p w14:paraId="194B0E15" w14:textId="77777777" w:rsidR="00A6032A" w:rsidRDefault="006C4A89">
      <w:pPr>
        <w:spacing w:line="360" w:lineRule="auto"/>
        <w:ind w:firstLine="720"/>
        <w:jc w:val="both"/>
        <w:rPr>
          <w:sz w:val="22"/>
        </w:rPr>
      </w:pPr>
      <w:r>
        <w:rPr>
          <w:sz w:val="22"/>
        </w:rPr>
        <w:t xml:space="preserve">Finally, it is important to understand the insight provided by Alberto </w:t>
      </w:r>
      <w:proofErr w:type="spellStart"/>
      <w:r>
        <w:rPr>
          <w:sz w:val="22"/>
        </w:rPr>
        <w:t>Melucci</w:t>
      </w:r>
      <w:proofErr w:type="spellEnd"/>
      <w:r>
        <w:rPr>
          <w:sz w:val="22"/>
        </w:rPr>
        <w:t xml:space="preserve"> that, while advocacy organisations are engaged politically with the ‘elite’ and powerful bureaucracies, they are also creating new cultural va</w:t>
      </w:r>
      <w:r>
        <w:rPr>
          <w:sz w:val="22"/>
        </w:rPr>
        <w:t>lues within the general population.</w:t>
      </w:r>
      <w:r>
        <w:rPr>
          <w:rStyle w:val="EndnoteReference"/>
          <w:sz w:val="22"/>
        </w:rPr>
        <w:endnoteReference w:id="47"/>
      </w:r>
      <w:r>
        <w:rPr>
          <w:sz w:val="22"/>
        </w:rPr>
        <w:t xml:space="preserve"> This could lead to differing views of the effectiveness of an advocacy organisation by members of the elite, supporters and the wider public.</w:t>
      </w:r>
    </w:p>
    <w:p w14:paraId="6F67F3AC" w14:textId="77777777" w:rsidR="00A6032A" w:rsidRDefault="006C4A89">
      <w:pPr>
        <w:spacing w:line="360" w:lineRule="auto"/>
        <w:rPr>
          <w:i/>
          <w:sz w:val="22"/>
        </w:rPr>
      </w:pPr>
      <w:r>
        <w:rPr>
          <w:i/>
          <w:sz w:val="22"/>
        </w:rPr>
        <w:lastRenderedPageBreak/>
        <w:t>Political ‘Effectiveness’</w:t>
      </w:r>
    </w:p>
    <w:p w14:paraId="01FC0898" w14:textId="77777777" w:rsidR="00A6032A" w:rsidRDefault="006C4A89">
      <w:pPr>
        <w:spacing w:line="360" w:lineRule="auto"/>
        <w:ind w:firstLine="720"/>
        <w:jc w:val="both"/>
        <w:rPr>
          <w:sz w:val="22"/>
        </w:rPr>
      </w:pPr>
      <w:r>
        <w:rPr>
          <w:sz w:val="22"/>
        </w:rPr>
        <w:t xml:space="preserve">The work of </w:t>
      </w:r>
      <w:proofErr w:type="spellStart"/>
      <w:r>
        <w:rPr>
          <w:sz w:val="22"/>
        </w:rPr>
        <w:t>Schumaker</w:t>
      </w:r>
      <w:proofErr w:type="spellEnd"/>
      <w:r>
        <w:rPr>
          <w:sz w:val="22"/>
        </w:rPr>
        <w:t xml:space="preserve"> is helpful in laying out a p</w:t>
      </w:r>
      <w:r>
        <w:rPr>
          <w:sz w:val="22"/>
        </w:rPr>
        <w:t>roposed approach to studying how an advocacy organisation could be assessed for its policy success in the macro political environment</w:t>
      </w:r>
      <w:r>
        <w:rPr>
          <w:rStyle w:val="EndnoteReference"/>
          <w:sz w:val="22"/>
        </w:rPr>
        <w:endnoteReference w:id="48"/>
      </w:r>
      <w:r>
        <w:rPr>
          <w:sz w:val="22"/>
        </w:rPr>
        <w:t xml:space="preserve"> (or, in our terms, effectiveness as a social construct). He contends that policy-making success can be defined in terms </w:t>
      </w:r>
      <w:r>
        <w:rPr>
          <w:sz w:val="22"/>
        </w:rPr>
        <w:t xml:space="preserve">of the political system’s responsiveness to an advocacy organisation. </w:t>
      </w:r>
      <w:proofErr w:type="spellStart"/>
      <w:r>
        <w:rPr>
          <w:sz w:val="22"/>
        </w:rPr>
        <w:t>Schumaker</w:t>
      </w:r>
      <w:proofErr w:type="spellEnd"/>
      <w:r>
        <w:rPr>
          <w:sz w:val="22"/>
        </w:rPr>
        <w:t xml:space="preserve"> presents five incremental stages of responsiveness:</w:t>
      </w:r>
    </w:p>
    <w:p w14:paraId="3CE2737B" w14:textId="77777777" w:rsidR="00A6032A" w:rsidRDefault="006C4A89">
      <w:pPr>
        <w:spacing w:line="360" w:lineRule="auto"/>
        <w:rPr>
          <w:sz w:val="22"/>
        </w:rPr>
      </w:pPr>
      <w:r>
        <w:rPr>
          <w:sz w:val="22"/>
        </w:rPr>
        <w:t xml:space="preserve">1) </w:t>
      </w:r>
      <w:r>
        <w:rPr>
          <w:b/>
          <w:sz w:val="22"/>
        </w:rPr>
        <w:t>access responsiveness,</w:t>
      </w:r>
      <w:r>
        <w:rPr>
          <w:sz w:val="22"/>
        </w:rPr>
        <w:t xml:space="preserve"> or the willingness of a government to hear the NPO’s </w:t>
      </w:r>
      <w:proofErr w:type="gramStart"/>
      <w:r>
        <w:rPr>
          <w:sz w:val="22"/>
        </w:rPr>
        <w:t>concerns;</w:t>
      </w:r>
      <w:proofErr w:type="gramEnd"/>
    </w:p>
    <w:p w14:paraId="5674FB5E" w14:textId="77777777" w:rsidR="00A6032A" w:rsidRDefault="006C4A89">
      <w:pPr>
        <w:spacing w:line="360" w:lineRule="auto"/>
        <w:rPr>
          <w:sz w:val="22"/>
        </w:rPr>
      </w:pPr>
      <w:r>
        <w:rPr>
          <w:sz w:val="22"/>
        </w:rPr>
        <w:t xml:space="preserve">2) </w:t>
      </w:r>
      <w:r>
        <w:rPr>
          <w:b/>
          <w:sz w:val="22"/>
        </w:rPr>
        <w:t>agenda responsiveness,</w:t>
      </w:r>
      <w:r>
        <w:rPr>
          <w:sz w:val="22"/>
        </w:rPr>
        <w:t xml:space="preserve"> or the wi</w:t>
      </w:r>
      <w:r>
        <w:rPr>
          <w:sz w:val="22"/>
        </w:rPr>
        <w:t xml:space="preserve">llingness of a government to place the NPO’s concerns on the policy </w:t>
      </w:r>
      <w:proofErr w:type="gramStart"/>
      <w:r>
        <w:rPr>
          <w:sz w:val="22"/>
        </w:rPr>
        <w:t>agenda;</w:t>
      </w:r>
      <w:proofErr w:type="gramEnd"/>
    </w:p>
    <w:p w14:paraId="60DC3324" w14:textId="77777777" w:rsidR="00A6032A" w:rsidRDefault="006C4A89">
      <w:pPr>
        <w:spacing w:line="360" w:lineRule="auto"/>
        <w:rPr>
          <w:sz w:val="22"/>
        </w:rPr>
      </w:pPr>
      <w:r>
        <w:rPr>
          <w:sz w:val="22"/>
        </w:rPr>
        <w:t xml:space="preserve">3) </w:t>
      </w:r>
      <w:r>
        <w:rPr>
          <w:b/>
          <w:sz w:val="22"/>
        </w:rPr>
        <w:t>policy responsiveness,</w:t>
      </w:r>
      <w:r>
        <w:rPr>
          <w:sz w:val="22"/>
        </w:rPr>
        <w:t xml:space="preserve"> or the willingness of a government to adopt the NPO’s </w:t>
      </w:r>
      <w:proofErr w:type="gramStart"/>
      <w:r>
        <w:rPr>
          <w:sz w:val="22"/>
        </w:rPr>
        <w:t>concerns;</w:t>
      </w:r>
      <w:proofErr w:type="gramEnd"/>
    </w:p>
    <w:p w14:paraId="7AA2DECA" w14:textId="77777777" w:rsidR="00A6032A" w:rsidRDefault="006C4A89">
      <w:pPr>
        <w:spacing w:line="360" w:lineRule="auto"/>
        <w:rPr>
          <w:sz w:val="22"/>
        </w:rPr>
      </w:pPr>
      <w:r>
        <w:rPr>
          <w:sz w:val="22"/>
        </w:rPr>
        <w:t xml:space="preserve">4) </w:t>
      </w:r>
      <w:r>
        <w:rPr>
          <w:b/>
          <w:sz w:val="22"/>
        </w:rPr>
        <w:t>output responsiveness,</w:t>
      </w:r>
      <w:r>
        <w:rPr>
          <w:sz w:val="22"/>
        </w:rPr>
        <w:t xml:space="preserve"> or the willingness of a government to implement the NPO’s concer</w:t>
      </w:r>
      <w:r>
        <w:rPr>
          <w:sz w:val="22"/>
        </w:rPr>
        <w:t>ns; and</w:t>
      </w:r>
    </w:p>
    <w:p w14:paraId="5549EF1B" w14:textId="77777777" w:rsidR="00A6032A" w:rsidRDefault="006C4A89">
      <w:pPr>
        <w:spacing w:line="360" w:lineRule="auto"/>
        <w:rPr>
          <w:sz w:val="22"/>
        </w:rPr>
      </w:pPr>
      <w:r>
        <w:rPr>
          <w:sz w:val="22"/>
        </w:rPr>
        <w:t xml:space="preserve">5) </w:t>
      </w:r>
      <w:r>
        <w:rPr>
          <w:b/>
          <w:sz w:val="22"/>
        </w:rPr>
        <w:t>impact responsiveness,</w:t>
      </w:r>
      <w:r>
        <w:rPr>
          <w:sz w:val="22"/>
        </w:rPr>
        <w:t xml:space="preserve"> or the degree that the actions of the government succeed in alleviating the grievances of the NPO.</w:t>
      </w:r>
      <w:r>
        <w:rPr>
          <w:rStyle w:val="EndnoteReference"/>
          <w:sz w:val="22"/>
        </w:rPr>
        <w:endnoteReference w:id="49"/>
      </w:r>
    </w:p>
    <w:p w14:paraId="1066C53D" w14:textId="77777777" w:rsidR="00A6032A" w:rsidRDefault="006C4A89">
      <w:pPr>
        <w:spacing w:line="360" w:lineRule="auto"/>
        <w:ind w:firstLine="720"/>
        <w:jc w:val="both"/>
        <w:rPr>
          <w:sz w:val="22"/>
        </w:rPr>
      </w:pPr>
      <w:r>
        <w:rPr>
          <w:sz w:val="22"/>
        </w:rPr>
        <w:t xml:space="preserve">Level one of </w:t>
      </w:r>
      <w:proofErr w:type="spellStart"/>
      <w:r>
        <w:rPr>
          <w:sz w:val="22"/>
        </w:rPr>
        <w:t>Schumaker’s</w:t>
      </w:r>
      <w:proofErr w:type="spellEnd"/>
      <w:r>
        <w:rPr>
          <w:sz w:val="22"/>
        </w:rPr>
        <w:t xml:space="preserve"> model provides the NPO with basic access to the government process, while level five sees the go</w:t>
      </w:r>
      <w:r>
        <w:rPr>
          <w:sz w:val="22"/>
        </w:rPr>
        <w:t>vernment implementing their proposed policies or programs. These new policies or programs are seen as having a positive impact on the issue on which the NPO is campaigning.</w:t>
      </w:r>
    </w:p>
    <w:p w14:paraId="51A97440" w14:textId="77777777" w:rsidR="00A6032A" w:rsidRDefault="006C4A89">
      <w:pPr>
        <w:spacing w:line="360" w:lineRule="auto"/>
        <w:rPr>
          <w:b/>
          <w:sz w:val="22"/>
        </w:rPr>
      </w:pPr>
      <w:r>
        <w:rPr>
          <w:b/>
          <w:sz w:val="22"/>
        </w:rPr>
        <w:t>Royal Commissions</w:t>
      </w:r>
    </w:p>
    <w:p w14:paraId="6CDD92D7" w14:textId="77777777" w:rsidR="00A6032A" w:rsidRDefault="006C4A89">
      <w:pPr>
        <w:spacing w:line="360" w:lineRule="auto"/>
        <w:ind w:firstLine="567"/>
        <w:rPr>
          <w:sz w:val="22"/>
          <w:lang w:val="en-US"/>
        </w:rPr>
      </w:pPr>
      <w:r>
        <w:rPr>
          <w:sz w:val="22"/>
        </w:rPr>
        <w:t xml:space="preserve">The first Royal Commission into the WA forests was in 1903 and </w:t>
      </w:r>
      <w:r>
        <w:rPr>
          <w:sz w:val="22"/>
        </w:rPr>
        <w:t xml:space="preserve">it was established after eight timber companies came together to form ‘The Combine’. This new company had a virtual monopoly on timber exports and the growing local market. </w:t>
      </w:r>
      <w:proofErr w:type="gramStart"/>
      <w:r>
        <w:rPr>
          <w:sz w:val="22"/>
        </w:rPr>
        <w:t>A number of</w:t>
      </w:r>
      <w:proofErr w:type="gramEnd"/>
      <w:r>
        <w:rPr>
          <w:sz w:val="22"/>
        </w:rPr>
        <w:t xml:space="preserve"> small timber companies had campaigned against The Combine after the Lan</w:t>
      </w:r>
      <w:r>
        <w:rPr>
          <w:sz w:val="22"/>
        </w:rPr>
        <w:t>ds Department in 1902 had refused to issue any timber leases to them and they had no forest areas to cut for local timber needs.</w:t>
      </w:r>
      <w:r>
        <w:rPr>
          <w:rStyle w:val="EndnoteReference"/>
          <w:sz w:val="22"/>
        </w:rPr>
        <w:endnoteReference w:id="50"/>
      </w:r>
      <w:r>
        <w:rPr>
          <w:sz w:val="22"/>
        </w:rPr>
        <w:t xml:space="preserve"> In its first progress report (1903), the Commission recommended to the Governor that the Forest Department be reorganised and</w:t>
      </w:r>
      <w:r>
        <w:rPr>
          <w:sz w:val="22"/>
        </w:rPr>
        <w:t xml:space="preserve"> managed by an Inspector General with suitable experience and scientific training in forestry. This Commission found that about 43% of the timber cut from trees for the purpose of hewing railway sleepers in the forest was wasted</w:t>
      </w:r>
      <w:r>
        <w:rPr>
          <w:rStyle w:val="EndnoteReference"/>
          <w:sz w:val="22"/>
        </w:rPr>
        <w:endnoteReference w:id="51"/>
      </w:r>
      <w:r>
        <w:rPr>
          <w:sz w:val="22"/>
        </w:rPr>
        <w:t xml:space="preserve">. </w:t>
      </w:r>
      <w:r>
        <w:rPr>
          <w:sz w:val="22"/>
          <w:lang w:val="en-US"/>
        </w:rPr>
        <w:t xml:space="preserve">One of the Commission’s </w:t>
      </w:r>
      <w:r>
        <w:rPr>
          <w:sz w:val="22"/>
          <w:lang w:val="en-US"/>
        </w:rPr>
        <w:t xml:space="preserve">statements on the logging practices of the day resonates one hundred years later and uses language </w:t>
      </w:r>
      <w:proofErr w:type="gramStart"/>
      <w:r>
        <w:rPr>
          <w:sz w:val="22"/>
          <w:lang w:val="en-US"/>
        </w:rPr>
        <w:t>similar to</w:t>
      </w:r>
      <w:proofErr w:type="gramEnd"/>
      <w:r>
        <w:rPr>
          <w:sz w:val="22"/>
          <w:lang w:val="en-US"/>
        </w:rPr>
        <w:t xml:space="preserve"> that used by the anti-logging groups at the end of the twentieth century:</w:t>
      </w:r>
    </w:p>
    <w:p w14:paraId="0B5728E9" w14:textId="77777777" w:rsidR="00A6032A" w:rsidRDefault="006C4A89">
      <w:pPr>
        <w:spacing w:line="360" w:lineRule="auto"/>
        <w:ind w:left="1134" w:right="1134"/>
        <w:rPr>
          <w:sz w:val="22"/>
          <w:lang w:val="en-US"/>
        </w:rPr>
      </w:pPr>
      <w:r>
        <w:rPr>
          <w:sz w:val="22"/>
          <w:lang w:val="en-US"/>
        </w:rPr>
        <w:t>State acquiescence in the destruction of good timber only because the tr</w:t>
      </w:r>
      <w:r>
        <w:rPr>
          <w:sz w:val="22"/>
          <w:lang w:val="en-US"/>
        </w:rPr>
        <w:t>ade demands it, is a crime against coming generations; and any attempts to increase the export in the interest of foreign companies, or with the object of inducing more men to join in timber getting at the expense of posterity, needs wise resistance…</w:t>
      </w:r>
      <w:r>
        <w:rPr>
          <w:rStyle w:val="EndnoteReference"/>
          <w:sz w:val="22"/>
          <w:lang w:val="en-US"/>
        </w:rPr>
        <w:endnoteReference w:id="52"/>
      </w:r>
    </w:p>
    <w:p w14:paraId="29C92E37" w14:textId="77777777" w:rsidR="00A6032A" w:rsidRDefault="006C4A89">
      <w:pPr>
        <w:spacing w:line="360" w:lineRule="auto"/>
        <w:ind w:firstLine="567"/>
        <w:rPr>
          <w:sz w:val="22"/>
          <w:lang w:val="en-US"/>
        </w:rPr>
      </w:pPr>
      <w:r>
        <w:rPr>
          <w:sz w:val="22"/>
        </w:rPr>
        <w:t>The</w:t>
      </w:r>
      <w:r>
        <w:rPr>
          <w:sz w:val="22"/>
        </w:rPr>
        <w:t xml:space="preserve"> 1922 Royal Commission was established because of conflict between the Forest Department, and especially the Conservator Lane Poole, and the timber industry represented by the larger companies. These companies (such as Bunnings, </w:t>
      </w:r>
      <w:proofErr w:type="spellStart"/>
      <w:r>
        <w:rPr>
          <w:sz w:val="22"/>
        </w:rPr>
        <w:t>Millars</w:t>
      </w:r>
      <w:proofErr w:type="spellEnd"/>
      <w:r>
        <w:rPr>
          <w:sz w:val="22"/>
        </w:rPr>
        <w:t xml:space="preserve">, </w:t>
      </w:r>
      <w:proofErr w:type="spellStart"/>
      <w:r>
        <w:rPr>
          <w:sz w:val="22"/>
        </w:rPr>
        <w:t>Whittakers</w:t>
      </w:r>
      <w:proofErr w:type="spellEnd"/>
      <w:r>
        <w:rPr>
          <w:sz w:val="22"/>
        </w:rPr>
        <w:t>) had gr</w:t>
      </w:r>
      <w:r>
        <w:rPr>
          <w:sz w:val="22"/>
        </w:rPr>
        <w:t xml:space="preserve">eat political power and actively lobbied parliamentarians for better timber leases and lower royalties. In a letter to a </w:t>
      </w:r>
      <w:r>
        <w:rPr>
          <w:sz w:val="22"/>
        </w:rPr>
        <w:lastRenderedPageBreak/>
        <w:t xml:space="preserve">former Australian Governor General, he wrote of his constant battles with the timber </w:t>
      </w:r>
      <w:proofErr w:type="gramStart"/>
      <w:r>
        <w:rPr>
          <w:sz w:val="22"/>
        </w:rPr>
        <w:t>industry  “</w:t>
      </w:r>
      <w:proofErr w:type="gramEnd"/>
      <w:r>
        <w:rPr>
          <w:sz w:val="22"/>
        </w:rPr>
        <w:t>Their [</w:t>
      </w:r>
      <w:proofErr w:type="spellStart"/>
      <w:r>
        <w:rPr>
          <w:sz w:val="22"/>
        </w:rPr>
        <w:t>Millars</w:t>
      </w:r>
      <w:proofErr w:type="spellEnd"/>
      <w:r>
        <w:rPr>
          <w:sz w:val="22"/>
        </w:rPr>
        <w:t xml:space="preserve">’] influence is so great </w:t>
      </w:r>
      <w:r>
        <w:rPr>
          <w:sz w:val="22"/>
        </w:rPr>
        <w:t xml:space="preserve">that they have always been able to dictate the Forest policy to the Government of the day.” In many ways the core findings of this Royal Commission closely reflected those of the earlier one. </w:t>
      </w:r>
      <w:proofErr w:type="gramStart"/>
      <w:r>
        <w:rPr>
          <w:sz w:val="22"/>
        </w:rPr>
        <w:t>In regard to</w:t>
      </w:r>
      <w:proofErr w:type="gramEnd"/>
      <w:r>
        <w:rPr>
          <w:sz w:val="22"/>
        </w:rPr>
        <w:t xml:space="preserve"> timber royalties (an issue that reverberates throug</w:t>
      </w:r>
      <w:r>
        <w:rPr>
          <w:sz w:val="22"/>
        </w:rPr>
        <w:t>hout the history of the debate on forests in WA) the Commission reported that ‘then surely the price charged is a very low one; compared to the charges in the Eastern States it is much too low’. It sheets the blame for this situation directly home to the p</w:t>
      </w:r>
      <w:r>
        <w:rPr>
          <w:sz w:val="22"/>
        </w:rPr>
        <w:t xml:space="preserve">olitical power of the timber industry, and </w:t>
      </w:r>
      <w:proofErr w:type="gramStart"/>
      <w:r>
        <w:rPr>
          <w:sz w:val="22"/>
        </w:rPr>
        <w:t>in particular one</w:t>
      </w:r>
      <w:proofErr w:type="gramEnd"/>
      <w:r>
        <w:rPr>
          <w:sz w:val="22"/>
        </w:rPr>
        <w:t xml:space="preserve"> company. ‘The stumbling-block to the fixing of an equitable price is </w:t>
      </w:r>
      <w:proofErr w:type="spellStart"/>
      <w:r>
        <w:rPr>
          <w:sz w:val="22"/>
        </w:rPr>
        <w:t>Millars</w:t>
      </w:r>
      <w:proofErr w:type="spellEnd"/>
      <w:r>
        <w:rPr>
          <w:sz w:val="22"/>
        </w:rPr>
        <w:t xml:space="preserve">’ Timber and Trading Co, Ltd, which, owing to its favourable position, makes it almost impossible to fix a really just </w:t>
      </w:r>
      <w:r>
        <w:rPr>
          <w:sz w:val="22"/>
        </w:rPr>
        <w:t>price’.</w:t>
      </w:r>
      <w:r>
        <w:rPr>
          <w:rStyle w:val="EndnoteReference"/>
          <w:sz w:val="22"/>
        </w:rPr>
        <w:endnoteReference w:id="53"/>
      </w:r>
      <w:r>
        <w:rPr>
          <w:sz w:val="22"/>
        </w:rPr>
        <w:t xml:space="preserve"> </w:t>
      </w:r>
      <w:r>
        <w:rPr>
          <w:sz w:val="22"/>
          <w:lang w:val="en-US"/>
        </w:rPr>
        <w:t>The report of the 1922 Royal Commission is the first time that the previous view of the forests as ‘limitless’ had been officially challenged and brought to light a prior warning made nine years earlier by the Acting Inspector General of Forests,</w:t>
      </w:r>
      <w:r>
        <w:rPr>
          <w:sz w:val="22"/>
          <w:lang w:val="en-US"/>
        </w:rPr>
        <w:t xml:space="preserve"> C Richardson:</w:t>
      </w:r>
    </w:p>
    <w:p w14:paraId="25FEB6F8" w14:textId="77777777" w:rsidR="00A6032A" w:rsidRDefault="006C4A89">
      <w:pPr>
        <w:spacing w:line="360" w:lineRule="auto"/>
        <w:ind w:left="1134" w:right="1134"/>
        <w:rPr>
          <w:sz w:val="22"/>
          <w:lang w:val="en-US"/>
        </w:rPr>
      </w:pPr>
      <w:r>
        <w:rPr>
          <w:sz w:val="22"/>
        </w:rPr>
        <w:t>Western Australia has now arrived at the stage when it is sheer folly to sacrifice the forests of the State even in the interests of land settlement, and it is to be hoped that in the future a more vigorous policy of reserving permanently la</w:t>
      </w:r>
      <w:r>
        <w:rPr>
          <w:sz w:val="22"/>
        </w:rPr>
        <w:t>rge areas of forest country will be possible. The people of today hold the forests in trust for the generations to come after them, and if we are to profit by the lessons of the past, it is for us to look beyond the present to the future.</w:t>
      </w:r>
      <w:r>
        <w:rPr>
          <w:sz w:val="22"/>
          <w:lang w:val="en-US"/>
        </w:rPr>
        <w:t xml:space="preserve"> </w:t>
      </w:r>
      <w:r>
        <w:rPr>
          <w:rStyle w:val="EndnoteReference"/>
          <w:sz w:val="22"/>
          <w:lang w:val="en-US"/>
        </w:rPr>
        <w:endnoteReference w:id="54"/>
      </w:r>
    </w:p>
    <w:p w14:paraId="37BE0A68" w14:textId="77777777" w:rsidR="00A6032A" w:rsidRDefault="00A6032A">
      <w:pPr>
        <w:pStyle w:val="TOC3"/>
        <w:spacing w:line="360" w:lineRule="auto"/>
        <w:rPr>
          <w:smallCaps w:val="0"/>
        </w:rPr>
      </w:pPr>
    </w:p>
    <w:p w14:paraId="10A2081C" w14:textId="77777777" w:rsidR="00A6032A" w:rsidRDefault="006C4A89">
      <w:pPr>
        <w:spacing w:line="360" w:lineRule="auto"/>
        <w:ind w:firstLine="567"/>
        <w:rPr>
          <w:sz w:val="22"/>
        </w:rPr>
      </w:pPr>
      <w:r>
        <w:rPr>
          <w:sz w:val="22"/>
        </w:rPr>
        <w:t xml:space="preserve">The decision </w:t>
      </w:r>
      <w:r>
        <w:rPr>
          <w:sz w:val="22"/>
        </w:rPr>
        <w:t>in 1950 by the Forest Minister Gerry Wild to tender 33,000 ha of new jarrah forests to the Kauri Timber Co (a New Zealand-based company)</w:t>
      </w:r>
      <w:r>
        <w:rPr>
          <w:rStyle w:val="EndnoteReference"/>
          <w:sz w:val="22"/>
        </w:rPr>
        <w:endnoteReference w:id="55"/>
      </w:r>
      <w:r>
        <w:rPr>
          <w:sz w:val="22"/>
        </w:rPr>
        <w:t xml:space="preserve"> seemed to be aimed at undermining the power of the local timber companies, who he said in colourful language ‘have no</w:t>
      </w:r>
      <w:r>
        <w:rPr>
          <w:sz w:val="22"/>
        </w:rPr>
        <w:t>t played the game by the people of the State and the industry and had the Government by the short hair”.</w:t>
      </w:r>
      <w:r>
        <w:rPr>
          <w:rStyle w:val="EndnoteReference"/>
          <w:sz w:val="22"/>
        </w:rPr>
        <w:endnoteReference w:id="56"/>
      </w:r>
      <w:r>
        <w:rPr>
          <w:sz w:val="22"/>
        </w:rPr>
        <w:t xml:space="preserve"> After the lobbying of the Premier and the Leader of the Opposition by five WA-owned timber companies, Bunnings in particular, a Parliamentary Select Committee recommended the establishment of a Royal Commission into every phase of the forest industry in W</w:t>
      </w:r>
      <w:r>
        <w:rPr>
          <w:sz w:val="22"/>
        </w:rPr>
        <w:t>A.</w:t>
      </w:r>
      <w:r>
        <w:rPr>
          <w:rStyle w:val="EndnoteReference"/>
          <w:sz w:val="22"/>
        </w:rPr>
        <w:endnoteReference w:id="57"/>
      </w:r>
      <w:r>
        <w:rPr>
          <w:sz w:val="22"/>
        </w:rPr>
        <w:t xml:space="preserve"> After a wide-ranging inquiry, the Commissioner Mr Rodger did not advocate any drastic changes to the existing Forestry Act and no company was awarded the new contract for jarrah near Nannup. Mr Rodger spent considerable time questioning the Conservato</w:t>
      </w:r>
      <w:r>
        <w:rPr>
          <w:sz w:val="22"/>
        </w:rPr>
        <w:t xml:space="preserve">r of Forests, Mr </w:t>
      </w:r>
      <w:proofErr w:type="spellStart"/>
      <w:r>
        <w:rPr>
          <w:sz w:val="22"/>
        </w:rPr>
        <w:t>Stoate</w:t>
      </w:r>
      <w:proofErr w:type="spellEnd"/>
      <w:r>
        <w:rPr>
          <w:sz w:val="22"/>
        </w:rPr>
        <w:t xml:space="preserve">, about wastage in the milling process. His question ‘You know that some people maintain that sawmilling is an antiquated, </w:t>
      </w:r>
      <w:proofErr w:type="gramStart"/>
      <w:r>
        <w:rPr>
          <w:sz w:val="22"/>
        </w:rPr>
        <w:t>cumbersome</w:t>
      </w:r>
      <w:proofErr w:type="gramEnd"/>
      <w:r>
        <w:rPr>
          <w:sz w:val="22"/>
        </w:rPr>
        <w:t xml:space="preserve"> and wasteful method of converting forest products to human use?’</w:t>
      </w:r>
      <w:r>
        <w:rPr>
          <w:rStyle w:val="EndnoteReference"/>
          <w:sz w:val="22"/>
        </w:rPr>
        <w:endnoteReference w:id="58"/>
      </w:r>
      <w:r>
        <w:rPr>
          <w:sz w:val="22"/>
        </w:rPr>
        <w:t xml:space="preserve"> foreshadows the arguments to be </w:t>
      </w:r>
      <w:r>
        <w:rPr>
          <w:sz w:val="22"/>
        </w:rPr>
        <w:t xml:space="preserve">used 20 years later by many groups opposing the logging of WA’s old growth forests. These Royal Commissions raised </w:t>
      </w:r>
      <w:proofErr w:type="gramStart"/>
      <w:r>
        <w:rPr>
          <w:sz w:val="22"/>
        </w:rPr>
        <w:t>a number of</w:t>
      </w:r>
      <w:proofErr w:type="gramEnd"/>
      <w:r>
        <w:rPr>
          <w:sz w:val="22"/>
        </w:rPr>
        <w:t xml:space="preserve"> important concerns in the way in which the WA’s native forests were being logged but environment organisations required broader c</w:t>
      </w:r>
      <w:r>
        <w:rPr>
          <w:sz w:val="22"/>
        </w:rPr>
        <w:t>hanges in public attitudes to occur before they could be successful in changing WA’s forest policy.</w:t>
      </w:r>
    </w:p>
    <w:p w14:paraId="331DC2DC" w14:textId="77777777" w:rsidR="00A6032A" w:rsidRDefault="00A6032A">
      <w:pPr>
        <w:spacing w:line="360" w:lineRule="auto"/>
        <w:rPr>
          <w:b/>
          <w:sz w:val="22"/>
        </w:rPr>
      </w:pPr>
    </w:p>
    <w:p w14:paraId="17C93D9A" w14:textId="77777777" w:rsidR="00A6032A" w:rsidRDefault="006C4A89">
      <w:pPr>
        <w:spacing w:line="360" w:lineRule="auto"/>
        <w:rPr>
          <w:b/>
          <w:sz w:val="22"/>
        </w:rPr>
      </w:pPr>
      <w:r>
        <w:rPr>
          <w:b/>
          <w:sz w:val="22"/>
        </w:rPr>
        <w:t>Newspaper Analysis</w:t>
      </w:r>
    </w:p>
    <w:p w14:paraId="1E4D01F5" w14:textId="77777777" w:rsidR="00A6032A" w:rsidRDefault="006C4A89">
      <w:pPr>
        <w:spacing w:line="360" w:lineRule="auto"/>
        <w:ind w:firstLine="567"/>
        <w:rPr>
          <w:sz w:val="22"/>
        </w:rPr>
      </w:pPr>
      <w:r>
        <w:rPr>
          <w:sz w:val="22"/>
        </w:rPr>
        <w:lastRenderedPageBreak/>
        <w:t>The analysis of the newspaper articles studied for the years 1998-2000 indicated that the reporting of forest issues in WA was an overwh</w:t>
      </w:r>
      <w:r>
        <w:rPr>
          <w:sz w:val="22"/>
        </w:rPr>
        <w:t xml:space="preserve">elming local issue with few articles published in the national paper, </w:t>
      </w:r>
      <w:r>
        <w:rPr>
          <w:i/>
          <w:sz w:val="22"/>
        </w:rPr>
        <w:t>The Australian</w:t>
      </w:r>
      <w:r>
        <w:rPr>
          <w:sz w:val="22"/>
        </w:rPr>
        <w:t>, except during 1999 when the RFA was announced and later revised (see Table 9). This information clearly shows that 1999 was a key year for debate on forest issues in WA a</w:t>
      </w:r>
      <w:r>
        <w:rPr>
          <w:sz w:val="22"/>
        </w:rPr>
        <w:t>s there were nearly four times as many articles published during this year than in the other two years. The proposed RFA was quickly amended in mid-1999 and some important changes to the policy positions of some of the political party stakeholders also too</w:t>
      </w:r>
      <w:r>
        <w:rPr>
          <w:sz w:val="22"/>
        </w:rPr>
        <w:t>k place</w:t>
      </w:r>
      <w:r>
        <w:rPr>
          <w:rStyle w:val="FootnoteReference"/>
          <w:sz w:val="22"/>
        </w:rPr>
        <w:footnoteReference w:id="1"/>
      </w:r>
      <w:r>
        <w:rPr>
          <w:sz w:val="22"/>
        </w:rPr>
        <w:t xml:space="preserve">. The articles carried by </w:t>
      </w:r>
      <w:r>
        <w:rPr>
          <w:i/>
          <w:sz w:val="22"/>
        </w:rPr>
        <w:t>The West Australian</w:t>
      </w:r>
      <w:r>
        <w:rPr>
          <w:sz w:val="22"/>
        </w:rPr>
        <w:t xml:space="preserve"> on forests in this period would be the main channel for news and opinion for the WA public as they amounted to around 90% of the newspaper coverage and </w:t>
      </w:r>
      <w:r>
        <w:rPr>
          <w:i/>
          <w:sz w:val="22"/>
        </w:rPr>
        <w:t xml:space="preserve">The West Australian </w:t>
      </w:r>
      <w:r>
        <w:rPr>
          <w:sz w:val="22"/>
        </w:rPr>
        <w:t>is also WA’s only daily newsp</w:t>
      </w:r>
      <w:r>
        <w:rPr>
          <w:sz w:val="22"/>
        </w:rPr>
        <w:t>aper.</w:t>
      </w:r>
    </w:p>
    <w:p w14:paraId="0B50D2A6" w14:textId="77777777" w:rsidR="00A6032A" w:rsidRDefault="00A6032A">
      <w:pPr>
        <w:spacing w:line="360" w:lineRule="auto"/>
      </w:pPr>
    </w:p>
    <w:p w14:paraId="36ADD816" w14:textId="77777777" w:rsidR="00A6032A" w:rsidRDefault="006C4A89">
      <w:pPr>
        <w:spacing w:line="360" w:lineRule="auto"/>
      </w:pPr>
      <w:r>
        <w:t>Table 6- The Number of Articles Published by Each Newspaper on Forest Issues, 1998-2000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57"/>
        <w:gridCol w:w="1857"/>
        <w:gridCol w:w="1857"/>
      </w:tblGrid>
      <w:tr w:rsidR="00A6032A" w14:paraId="32C54A59" w14:textId="77777777">
        <w:tc>
          <w:tcPr>
            <w:tcW w:w="1857" w:type="dxa"/>
            <w:tcBorders>
              <w:bottom w:val="single" w:sz="18" w:space="0" w:color="auto"/>
            </w:tcBorders>
          </w:tcPr>
          <w:p w14:paraId="46479D28" w14:textId="77777777" w:rsidR="00A6032A" w:rsidRDefault="006C4A89">
            <w:pPr>
              <w:spacing w:line="360" w:lineRule="auto"/>
              <w:ind w:firstLine="142"/>
              <w:rPr>
                <w:b/>
                <w:lang w:val="en-US"/>
              </w:rPr>
            </w:pPr>
            <w:r>
              <w:rPr>
                <w:b/>
                <w:lang w:val="en-US"/>
              </w:rPr>
              <w:t>PAPER</w:t>
            </w:r>
          </w:p>
        </w:tc>
        <w:tc>
          <w:tcPr>
            <w:tcW w:w="1857" w:type="dxa"/>
            <w:tcBorders>
              <w:bottom w:val="single" w:sz="18" w:space="0" w:color="auto"/>
            </w:tcBorders>
          </w:tcPr>
          <w:p w14:paraId="4464E737" w14:textId="77777777" w:rsidR="00A6032A" w:rsidRDefault="006C4A89">
            <w:pPr>
              <w:spacing w:line="360" w:lineRule="auto"/>
              <w:ind w:firstLine="128"/>
              <w:jc w:val="center"/>
              <w:rPr>
                <w:b/>
                <w:sz w:val="24"/>
                <w:lang w:val="en-US"/>
              </w:rPr>
            </w:pPr>
            <w:r>
              <w:rPr>
                <w:b/>
                <w:sz w:val="24"/>
                <w:lang w:val="en-US"/>
              </w:rPr>
              <w:t>1998</w:t>
            </w:r>
          </w:p>
        </w:tc>
        <w:tc>
          <w:tcPr>
            <w:tcW w:w="1857" w:type="dxa"/>
            <w:tcBorders>
              <w:bottom w:val="single" w:sz="18" w:space="0" w:color="auto"/>
            </w:tcBorders>
          </w:tcPr>
          <w:p w14:paraId="6E070118" w14:textId="77777777" w:rsidR="00A6032A" w:rsidRDefault="006C4A89">
            <w:pPr>
              <w:spacing w:line="360" w:lineRule="auto"/>
              <w:ind w:firstLine="255"/>
              <w:jc w:val="center"/>
              <w:rPr>
                <w:b/>
                <w:sz w:val="24"/>
                <w:lang w:val="en-US"/>
              </w:rPr>
            </w:pPr>
            <w:r>
              <w:rPr>
                <w:b/>
                <w:sz w:val="24"/>
                <w:lang w:val="en-US"/>
              </w:rPr>
              <w:t>1999</w:t>
            </w:r>
          </w:p>
        </w:tc>
        <w:tc>
          <w:tcPr>
            <w:tcW w:w="1857" w:type="dxa"/>
            <w:tcBorders>
              <w:bottom w:val="single" w:sz="18" w:space="0" w:color="auto"/>
            </w:tcBorders>
          </w:tcPr>
          <w:p w14:paraId="1DC1E6F0" w14:textId="77777777" w:rsidR="00A6032A" w:rsidRDefault="006C4A89">
            <w:pPr>
              <w:spacing w:line="360" w:lineRule="auto"/>
              <w:ind w:firstLine="99"/>
              <w:jc w:val="center"/>
              <w:rPr>
                <w:b/>
                <w:sz w:val="24"/>
                <w:lang w:val="en-US"/>
              </w:rPr>
            </w:pPr>
            <w:r>
              <w:rPr>
                <w:b/>
                <w:sz w:val="24"/>
                <w:lang w:val="en-US"/>
              </w:rPr>
              <w:t>2000</w:t>
            </w:r>
          </w:p>
        </w:tc>
      </w:tr>
      <w:tr w:rsidR="00A6032A" w14:paraId="1F5FF04F" w14:textId="77777777">
        <w:tc>
          <w:tcPr>
            <w:tcW w:w="1857" w:type="dxa"/>
            <w:tcBorders>
              <w:top w:val="nil"/>
            </w:tcBorders>
          </w:tcPr>
          <w:p w14:paraId="55C204E8" w14:textId="77777777" w:rsidR="00A6032A" w:rsidRDefault="006C4A89">
            <w:pPr>
              <w:spacing w:line="360" w:lineRule="auto"/>
              <w:ind w:firstLine="142"/>
              <w:rPr>
                <w:b/>
                <w:i/>
                <w:lang w:val="en-US"/>
              </w:rPr>
            </w:pPr>
            <w:r>
              <w:rPr>
                <w:b/>
                <w:i/>
                <w:lang w:val="en-US"/>
              </w:rPr>
              <w:t>The West Australian</w:t>
            </w:r>
          </w:p>
        </w:tc>
        <w:tc>
          <w:tcPr>
            <w:tcW w:w="1857" w:type="dxa"/>
            <w:tcBorders>
              <w:top w:val="nil"/>
            </w:tcBorders>
          </w:tcPr>
          <w:p w14:paraId="0F432A8D" w14:textId="77777777" w:rsidR="00A6032A" w:rsidRDefault="006C4A89">
            <w:pPr>
              <w:spacing w:line="360" w:lineRule="auto"/>
              <w:ind w:firstLine="128"/>
              <w:jc w:val="center"/>
              <w:rPr>
                <w:b/>
                <w:sz w:val="24"/>
                <w:lang w:val="en-US"/>
              </w:rPr>
            </w:pPr>
            <w:r>
              <w:rPr>
                <w:b/>
                <w:sz w:val="24"/>
                <w:lang w:val="en-US"/>
              </w:rPr>
              <w:t>141</w:t>
            </w:r>
          </w:p>
        </w:tc>
        <w:tc>
          <w:tcPr>
            <w:tcW w:w="1857" w:type="dxa"/>
            <w:tcBorders>
              <w:top w:val="nil"/>
            </w:tcBorders>
          </w:tcPr>
          <w:p w14:paraId="1EC416C7" w14:textId="77777777" w:rsidR="00A6032A" w:rsidRDefault="006C4A89">
            <w:pPr>
              <w:spacing w:line="360" w:lineRule="auto"/>
              <w:ind w:firstLine="255"/>
              <w:jc w:val="center"/>
              <w:rPr>
                <w:b/>
                <w:sz w:val="24"/>
                <w:lang w:val="en-US"/>
              </w:rPr>
            </w:pPr>
            <w:r>
              <w:rPr>
                <w:b/>
                <w:sz w:val="24"/>
                <w:lang w:val="en-US"/>
              </w:rPr>
              <w:t>545</w:t>
            </w:r>
          </w:p>
        </w:tc>
        <w:tc>
          <w:tcPr>
            <w:tcW w:w="1857" w:type="dxa"/>
            <w:tcBorders>
              <w:top w:val="nil"/>
            </w:tcBorders>
          </w:tcPr>
          <w:p w14:paraId="63AA8291" w14:textId="77777777" w:rsidR="00A6032A" w:rsidRDefault="006C4A89">
            <w:pPr>
              <w:spacing w:line="360" w:lineRule="auto"/>
              <w:ind w:firstLine="99"/>
              <w:jc w:val="center"/>
              <w:rPr>
                <w:b/>
                <w:sz w:val="24"/>
                <w:lang w:val="en-US"/>
              </w:rPr>
            </w:pPr>
            <w:r>
              <w:rPr>
                <w:b/>
                <w:sz w:val="24"/>
                <w:lang w:val="en-US"/>
              </w:rPr>
              <w:t>158</w:t>
            </w:r>
          </w:p>
        </w:tc>
      </w:tr>
      <w:tr w:rsidR="00A6032A" w14:paraId="3296F404" w14:textId="77777777">
        <w:tc>
          <w:tcPr>
            <w:tcW w:w="1857" w:type="dxa"/>
          </w:tcPr>
          <w:p w14:paraId="3E92D54D" w14:textId="77777777" w:rsidR="00A6032A" w:rsidRDefault="006C4A89">
            <w:pPr>
              <w:spacing w:line="360" w:lineRule="auto"/>
              <w:ind w:firstLine="142"/>
              <w:rPr>
                <w:b/>
                <w:i/>
                <w:lang w:val="en-US"/>
              </w:rPr>
            </w:pPr>
            <w:r>
              <w:rPr>
                <w:b/>
                <w:i/>
                <w:lang w:val="en-US"/>
              </w:rPr>
              <w:t>The Sunday Times</w:t>
            </w:r>
          </w:p>
        </w:tc>
        <w:tc>
          <w:tcPr>
            <w:tcW w:w="1857" w:type="dxa"/>
          </w:tcPr>
          <w:p w14:paraId="220DB335" w14:textId="77777777" w:rsidR="00A6032A" w:rsidRDefault="006C4A89">
            <w:pPr>
              <w:spacing w:line="360" w:lineRule="auto"/>
              <w:ind w:firstLine="128"/>
              <w:jc w:val="center"/>
              <w:rPr>
                <w:b/>
                <w:sz w:val="24"/>
                <w:lang w:val="en-US"/>
              </w:rPr>
            </w:pPr>
            <w:r>
              <w:rPr>
                <w:b/>
                <w:sz w:val="24"/>
                <w:lang w:val="en-US"/>
              </w:rPr>
              <w:t>16</w:t>
            </w:r>
          </w:p>
        </w:tc>
        <w:tc>
          <w:tcPr>
            <w:tcW w:w="1857" w:type="dxa"/>
          </w:tcPr>
          <w:p w14:paraId="02A0AFA1" w14:textId="77777777" w:rsidR="00A6032A" w:rsidRDefault="006C4A89">
            <w:pPr>
              <w:spacing w:line="360" w:lineRule="auto"/>
              <w:ind w:firstLine="255"/>
              <w:jc w:val="center"/>
              <w:rPr>
                <w:b/>
                <w:sz w:val="24"/>
                <w:lang w:val="en-US"/>
              </w:rPr>
            </w:pPr>
            <w:r>
              <w:rPr>
                <w:b/>
                <w:sz w:val="24"/>
                <w:lang w:val="en-US"/>
              </w:rPr>
              <w:t>17</w:t>
            </w:r>
          </w:p>
        </w:tc>
        <w:tc>
          <w:tcPr>
            <w:tcW w:w="1857" w:type="dxa"/>
          </w:tcPr>
          <w:p w14:paraId="697E6FE1" w14:textId="77777777" w:rsidR="00A6032A" w:rsidRDefault="006C4A89">
            <w:pPr>
              <w:spacing w:line="360" w:lineRule="auto"/>
              <w:ind w:firstLine="99"/>
              <w:jc w:val="center"/>
              <w:rPr>
                <w:b/>
                <w:sz w:val="24"/>
                <w:lang w:val="en-US"/>
              </w:rPr>
            </w:pPr>
            <w:r>
              <w:rPr>
                <w:b/>
                <w:sz w:val="24"/>
                <w:lang w:val="en-US"/>
              </w:rPr>
              <w:t>3</w:t>
            </w:r>
          </w:p>
        </w:tc>
      </w:tr>
      <w:tr w:rsidR="00A6032A" w14:paraId="28AE5F08" w14:textId="77777777">
        <w:tc>
          <w:tcPr>
            <w:tcW w:w="1857" w:type="dxa"/>
            <w:tcBorders>
              <w:bottom w:val="nil"/>
            </w:tcBorders>
          </w:tcPr>
          <w:p w14:paraId="641C0FCC" w14:textId="77777777" w:rsidR="00A6032A" w:rsidRDefault="006C4A89">
            <w:pPr>
              <w:spacing w:line="360" w:lineRule="auto"/>
              <w:ind w:firstLine="142"/>
              <w:rPr>
                <w:b/>
                <w:i/>
                <w:lang w:val="en-US"/>
              </w:rPr>
            </w:pPr>
            <w:r>
              <w:rPr>
                <w:b/>
                <w:i/>
                <w:lang w:val="en-US"/>
              </w:rPr>
              <w:t>The Australian</w:t>
            </w:r>
          </w:p>
        </w:tc>
        <w:tc>
          <w:tcPr>
            <w:tcW w:w="1857" w:type="dxa"/>
            <w:tcBorders>
              <w:bottom w:val="nil"/>
            </w:tcBorders>
          </w:tcPr>
          <w:p w14:paraId="2396F6DA" w14:textId="77777777" w:rsidR="00A6032A" w:rsidRDefault="006C4A89">
            <w:pPr>
              <w:spacing w:line="360" w:lineRule="auto"/>
              <w:ind w:firstLine="128"/>
              <w:jc w:val="center"/>
              <w:rPr>
                <w:b/>
                <w:sz w:val="24"/>
                <w:lang w:val="en-US"/>
              </w:rPr>
            </w:pPr>
            <w:r>
              <w:rPr>
                <w:b/>
                <w:sz w:val="24"/>
                <w:lang w:val="en-US"/>
              </w:rPr>
              <w:t>0</w:t>
            </w:r>
          </w:p>
        </w:tc>
        <w:tc>
          <w:tcPr>
            <w:tcW w:w="1857" w:type="dxa"/>
            <w:tcBorders>
              <w:bottom w:val="nil"/>
            </w:tcBorders>
          </w:tcPr>
          <w:p w14:paraId="7188D8B1" w14:textId="77777777" w:rsidR="00A6032A" w:rsidRDefault="006C4A89">
            <w:pPr>
              <w:spacing w:line="360" w:lineRule="auto"/>
              <w:ind w:firstLine="255"/>
              <w:jc w:val="center"/>
              <w:rPr>
                <w:b/>
                <w:sz w:val="24"/>
                <w:lang w:val="en-US"/>
              </w:rPr>
            </w:pPr>
            <w:r>
              <w:rPr>
                <w:b/>
                <w:sz w:val="24"/>
                <w:lang w:val="en-US"/>
              </w:rPr>
              <w:t>59</w:t>
            </w:r>
          </w:p>
        </w:tc>
        <w:tc>
          <w:tcPr>
            <w:tcW w:w="1857" w:type="dxa"/>
            <w:tcBorders>
              <w:bottom w:val="nil"/>
            </w:tcBorders>
          </w:tcPr>
          <w:p w14:paraId="29EDF3CA" w14:textId="77777777" w:rsidR="00A6032A" w:rsidRDefault="006C4A89">
            <w:pPr>
              <w:spacing w:line="360" w:lineRule="auto"/>
              <w:ind w:firstLine="99"/>
              <w:jc w:val="center"/>
              <w:rPr>
                <w:b/>
                <w:sz w:val="24"/>
                <w:lang w:val="en-US"/>
              </w:rPr>
            </w:pPr>
            <w:r>
              <w:rPr>
                <w:b/>
                <w:sz w:val="24"/>
                <w:lang w:val="en-US"/>
              </w:rPr>
              <w:t>7</w:t>
            </w:r>
          </w:p>
        </w:tc>
      </w:tr>
      <w:tr w:rsidR="00A6032A" w14:paraId="67475CC1" w14:textId="77777777">
        <w:tc>
          <w:tcPr>
            <w:tcW w:w="1857" w:type="dxa"/>
            <w:tcBorders>
              <w:top w:val="single" w:sz="18" w:space="0" w:color="auto"/>
              <w:bottom w:val="single" w:sz="4" w:space="0" w:color="auto"/>
            </w:tcBorders>
          </w:tcPr>
          <w:p w14:paraId="448076CB" w14:textId="77777777" w:rsidR="00A6032A" w:rsidRDefault="006C4A89">
            <w:pPr>
              <w:spacing w:line="360" w:lineRule="auto"/>
              <w:ind w:firstLine="142"/>
              <w:rPr>
                <w:lang w:val="en-US"/>
              </w:rPr>
            </w:pPr>
            <w:r>
              <w:rPr>
                <w:b/>
                <w:lang w:val="en-US"/>
              </w:rPr>
              <w:t>TOTAL</w:t>
            </w:r>
          </w:p>
        </w:tc>
        <w:tc>
          <w:tcPr>
            <w:tcW w:w="1857" w:type="dxa"/>
            <w:tcBorders>
              <w:top w:val="single" w:sz="18" w:space="0" w:color="auto"/>
              <w:bottom w:val="single" w:sz="4" w:space="0" w:color="auto"/>
            </w:tcBorders>
          </w:tcPr>
          <w:p w14:paraId="0F5A2F21" w14:textId="77777777" w:rsidR="00A6032A" w:rsidRDefault="006C4A89">
            <w:pPr>
              <w:spacing w:line="360" w:lineRule="auto"/>
              <w:ind w:firstLine="128"/>
              <w:jc w:val="center"/>
              <w:rPr>
                <w:b/>
                <w:sz w:val="24"/>
                <w:lang w:val="en-US"/>
              </w:rPr>
            </w:pPr>
            <w:r>
              <w:rPr>
                <w:b/>
                <w:sz w:val="24"/>
                <w:lang w:val="en-US"/>
              </w:rPr>
              <w:t>157</w:t>
            </w:r>
          </w:p>
        </w:tc>
        <w:tc>
          <w:tcPr>
            <w:tcW w:w="1857" w:type="dxa"/>
            <w:tcBorders>
              <w:top w:val="single" w:sz="18" w:space="0" w:color="auto"/>
              <w:bottom w:val="single" w:sz="4" w:space="0" w:color="auto"/>
            </w:tcBorders>
          </w:tcPr>
          <w:p w14:paraId="11CEAF40" w14:textId="77777777" w:rsidR="00A6032A" w:rsidRDefault="006C4A89">
            <w:pPr>
              <w:spacing w:line="360" w:lineRule="auto"/>
              <w:ind w:firstLine="255"/>
              <w:jc w:val="center"/>
              <w:rPr>
                <w:b/>
                <w:sz w:val="24"/>
                <w:lang w:val="en-US"/>
              </w:rPr>
            </w:pPr>
            <w:r>
              <w:rPr>
                <w:b/>
                <w:sz w:val="24"/>
                <w:lang w:val="en-US"/>
              </w:rPr>
              <w:t>621</w:t>
            </w:r>
          </w:p>
        </w:tc>
        <w:tc>
          <w:tcPr>
            <w:tcW w:w="1857" w:type="dxa"/>
            <w:tcBorders>
              <w:top w:val="single" w:sz="18" w:space="0" w:color="auto"/>
              <w:bottom w:val="single" w:sz="4" w:space="0" w:color="auto"/>
            </w:tcBorders>
          </w:tcPr>
          <w:p w14:paraId="4125EECF" w14:textId="77777777" w:rsidR="00A6032A" w:rsidRDefault="006C4A89">
            <w:pPr>
              <w:spacing w:line="360" w:lineRule="auto"/>
              <w:ind w:firstLine="99"/>
              <w:jc w:val="center"/>
              <w:rPr>
                <w:b/>
                <w:sz w:val="24"/>
                <w:lang w:val="en-US"/>
              </w:rPr>
            </w:pPr>
            <w:r>
              <w:rPr>
                <w:b/>
                <w:sz w:val="24"/>
                <w:lang w:val="en-US"/>
              </w:rPr>
              <w:t>168</w:t>
            </w:r>
          </w:p>
        </w:tc>
      </w:tr>
    </w:tbl>
    <w:p w14:paraId="37BE44FC" w14:textId="77777777" w:rsidR="00A6032A" w:rsidRDefault="00A6032A">
      <w:pPr>
        <w:spacing w:line="360" w:lineRule="auto"/>
      </w:pPr>
    </w:p>
    <w:p w14:paraId="19694E77" w14:textId="77777777" w:rsidR="00A6032A" w:rsidRDefault="006C4A89">
      <w:pPr>
        <w:pStyle w:val="BodyTextIndent"/>
        <w:rPr>
          <w:lang w:val="en-US"/>
        </w:rPr>
      </w:pPr>
      <w:r>
        <w:t xml:space="preserve">There were no editorials about forest issues in any of the newspapers during 2000 and for most of 1998, but during the 12 months between November 1998 and November 1999 there were 20- a rate of nearly one per fortnight. During 1998-2000 </w:t>
      </w:r>
      <w:r>
        <w:rPr>
          <w:i/>
        </w:rPr>
        <w:t>The Australian</w:t>
      </w:r>
      <w:r>
        <w:t xml:space="preserve"> publ</w:t>
      </w:r>
      <w:r>
        <w:t xml:space="preserve">ished one editorial, the </w:t>
      </w:r>
      <w:r>
        <w:rPr>
          <w:i/>
        </w:rPr>
        <w:t>Sunday Times</w:t>
      </w:r>
      <w:r>
        <w:t xml:space="preserve"> six and </w:t>
      </w:r>
      <w:r>
        <w:rPr>
          <w:i/>
        </w:rPr>
        <w:t>The West Australian</w:t>
      </w:r>
      <w:r>
        <w:t xml:space="preserve"> thirteen. Of interest is that the </w:t>
      </w:r>
      <w:r>
        <w:rPr>
          <w:i/>
        </w:rPr>
        <w:t>Sunday Times</w:t>
      </w:r>
      <w:r>
        <w:t xml:space="preserve"> published only 4% of the forest articles between 1998-2000 but 30% of the editorials, indicating a greater editorial interest in this policy de</w:t>
      </w:r>
      <w:r>
        <w:t xml:space="preserve">bate than the other two papers (see Appendix 1). </w:t>
      </w:r>
      <w:r>
        <w:rPr>
          <w:lang w:val="en-US"/>
        </w:rPr>
        <w:t>The analysis of the newspaper articles also helped identify that there were times during the three years that media coverage increased around specific events. Three specific events were identified that had a</w:t>
      </w:r>
      <w:r>
        <w:rPr>
          <w:lang w:val="en-US"/>
        </w:rPr>
        <w:t xml:space="preserve"> significant impact on the number of articles published and on the overall direction of the forest debate in WA. </w:t>
      </w:r>
    </w:p>
    <w:p w14:paraId="77F3F9AD" w14:textId="77777777" w:rsidR="00A6032A" w:rsidRDefault="00A6032A">
      <w:pPr>
        <w:spacing w:line="360" w:lineRule="auto"/>
        <w:rPr>
          <w:lang w:val="en-US"/>
        </w:rPr>
      </w:pPr>
    </w:p>
    <w:p w14:paraId="65BE68DE" w14:textId="77777777" w:rsidR="00A6032A" w:rsidRDefault="006C4A89">
      <w:pPr>
        <w:spacing w:line="360" w:lineRule="auto"/>
        <w:ind w:firstLine="567"/>
        <w:rPr>
          <w:snapToGrid w:val="0"/>
          <w:color w:val="000000"/>
          <w:sz w:val="22"/>
        </w:rPr>
      </w:pPr>
      <w:r>
        <w:rPr>
          <w:sz w:val="22"/>
          <w:lang w:val="en-US"/>
        </w:rPr>
        <w:t>The Mick Malthouse ‘affair’ completely changed the tenor of the debate on WA’s forest policy by WA newspapers. On 4</w:t>
      </w:r>
      <w:r>
        <w:rPr>
          <w:sz w:val="22"/>
          <w:vertAlign w:val="superscript"/>
          <w:lang w:val="en-US"/>
        </w:rPr>
        <w:t>th</w:t>
      </w:r>
      <w:r>
        <w:rPr>
          <w:sz w:val="22"/>
          <w:lang w:val="en-US"/>
        </w:rPr>
        <w:t xml:space="preserve"> June 1998 a large </w:t>
      </w:r>
      <w:proofErr w:type="spellStart"/>
      <w:r>
        <w:rPr>
          <w:sz w:val="22"/>
          <w:lang w:val="en-US"/>
        </w:rPr>
        <w:t>colou</w:t>
      </w:r>
      <w:r>
        <w:rPr>
          <w:sz w:val="22"/>
          <w:lang w:val="en-US"/>
        </w:rPr>
        <w:t>r</w:t>
      </w:r>
      <w:proofErr w:type="spellEnd"/>
      <w:r>
        <w:rPr>
          <w:sz w:val="22"/>
          <w:lang w:val="en-US"/>
        </w:rPr>
        <w:t xml:space="preserve"> photo of </w:t>
      </w:r>
      <w:proofErr w:type="spellStart"/>
      <w:r>
        <w:rPr>
          <w:sz w:val="22"/>
          <w:lang w:val="en-US"/>
        </w:rPr>
        <w:t>Mr</w:t>
      </w:r>
      <w:proofErr w:type="spellEnd"/>
      <w:r>
        <w:rPr>
          <w:sz w:val="22"/>
          <w:lang w:val="en-US"/>
        </w:rPr>
        <w:t xml:space="preserve"> Malthouse (the Coach of the West Coast Eagles- the first WA team in the national AFL competition</w:t>
      </w:r>
      <w:r>
        <w:rPr>
          <w:rStyle w:val="EndnoteReference"/>
          <w:sz w:val="22"/>
          <w:lang w:val="en-US"/>
        </w:rPr>
        <w:endnoteReference w:id="59"/>
      </w:r>
      <w:r>
        <w:rPr>
          <w:sz w:val="22"/>
          <w:lang w:val="en-US"/>
        </w:rPr>
        <w:t xml:space="preserve">) beside a large karri stump appeared on the front page of </w:t>
      </w:r>
      <w:r>
        <w:rPr>
          <w:i/>
          <w:sz w:val="22"/>
          <w:lang w:val="en-US"/>
        </w:rPr>
        <w:t xml:space="preserve">The West Australian </w:t>
      </w:r>
      <w:r>
        <w:rPr>
          <w:sz w:val="22"/>
          <w:lang w:val="en-US"/>
        </w:rPr>
        <w:t>with a story announcing his opposition to the logging of old grow</w:t>
      </w:r>
      <w:r>
        <w:rPr>
          <w:sz w:val="22"/>
          <w:lang w:val="en-US"/>
        </w:rPr>
        <w:t>th forests in WA.</w:t>
      </w:r>
      <w:r>
        <w:rPr>
          <w:rStyle w:val="EndnoteReference"/>
          <w:sz w:val="22"/>
          <w:lang w:val="en-US"/>
        </w:rPr>
        <w:endnoteReference w:id="60"/>
      </w:r>
      <w:r>
        <w:rPr>
          <w:sz w:val="22"/>
          <w:lang w:val="en-US"/>
        </w:rPr>
        <w:t xml:space="preserve"> His intervention in the debate in opposition to the logging of old-growth forests led in the next few days to a large number of highly emotive letters-to-the-editor from those in </w:t>
      </w:r>
      <w:proofErr w:type="spellStart"/>
      <w:r>
        <w:rPr>
          <w:sz w:val="22"/>
          <w:lang w:val="en-US"/>
        </w:rPr>
        <w:t>favour</w:t>
      </w:r>
      <w:proofErr w:type="spellEnd"/>
      <w:r>
        <w:rPr>
          <w:sz w:val="22"/>
          <w:lang w:val="en-US"/>
        </w:rPr>
        <w:t xml:space="preserve"> and opposed to his intervention into the forest de</w:t>
      </w:r>
      <w:r>
        <w:rPr>
          <w:sz w:val="22"/>
          <w:lang w:val="en-US"/>
        </w:rPr>
        <w:t xml:space="preserve">bate. </w:t>
      </w:r>
      <w:r>
        <w:rPr>
          <w:snapToGrid w:val="0"/>
          <w:color w:val="000000"/>
          <w:sz w:val="22"/>
        </w:rPr>
        <w:t xml:space="preserve">The power of this personal </w:t>
      </w:r>
      <w:r>
        <w:rPr>
          <w:snapToGrid w:val="0"/>
          <w:color w:val="000000"/>
          <w:sz w:val="22"/>
        </w:rPr>
        <w:lastRenderedPageBreak/>
        <w:t>intervention into the forest debate is reflected in comments made by a timber union organiser, on its impact on the policies of the WA Premier, Richard Court:</w:t>
      </w:r>
    </w:p>
    <w:p w14:paraId="54C9F2C6" w14:textId="77777777" w:rsidR="00A6032A" w:rsidRDefault="006C4A89">
      <w:pPr>
        <w:spacing w:line="360" w:lineRule="auto"/>
        <w:ind w:left="1134" w:right="1134"/>
        <w:rPr>
          <w:sz w:val="22"/>
        </w:rPr>
      </w:pPr>
      <w:r>
        <w:rPr>
          <w:sz w:val="22"/>
        </w:rPr>
        <w:t>... and the other person who was in my judgement hugely influent</w:t>
      </w:r>
      <w:r>
        <w:rPr>
          <w:sz w:val="22"/>
        </w:rPr>
        <w:t>ial was Mick Malthouse. Now when Richard Court did his [</w:t>
      </w:r>
      <w:r>
        <w:rPr>
          <w:i/>
          <w:sz w:val="22"/>
        </w:rPr>
        <w:t>RFA</w:t>
      </w:r>
      <w:r>
        <w:rPr>
          <w:sz w:val="22"/>
        </w:rPr>
        <w:t>] back flip on the karri, Tim Daly [</w:t>
      </w:r>
      <w:r>
        <w:rPr>
          <w:i/>
          <w:sz w:val="22"/>
        </w:rPr>
        <w:t>AWU Branch Secretary</w:t>
      </w:r>
      <w:r>
        <w:rPr>
          <w:sz w:val="22"/>
        </w:rPr>
        <w:t>] and myself went and spoke to Richard Court…And he [</w:t>
      </w:r>
      <w:r>
        <w:rPr>
          <w:i/>
          <w:sz w:val="22"/>
        </w:rPr>
        <w:t>Richard Court</w:t>
      </w:r>
      <w:r>
        <w:rPr>
          <w:sz w:val="22"/>
        </w:rPr>
        <w:t xml:space="preserve">] said, he had spoken to </w:t>
      </w:r>
      <w:proofErr w:type="gramStart"/>
      <w:r>
        <w:rPr>
          <w:sz w:val="22"/>
        </w:rPr>
        <w:t>a number of</w:t>
      </w:r>
      <w:proofErr w:type="gramEnd"/>
      <w:r>
        <w:rPr>
          <w:sz w:val="22"/>
        </w:rPr>
        <w:t xml:space="preserve"> people, but he continued to talk about</w:t>
      </w:r>
      <w:r>
        <w:rPr>
          <w:sz w:val="22"/>
        </w:rPr>
        <w:t xml:space="preserve"> his discussions with Mick Malthouse, so I believe that Richard Court was significantly influenced by </w:t>
      </w:r>
      <w:r>
        <w:rPr>
          <w:b/>
          <w:sz w:val="22"/>
        </w:rPr>
        <w:t>one</w:t>
      </w:r>
      <w:r>
        <w:rPr>
          <w:sz w:val="22"/>
        </w:rPr>
        <w:t xml:space="preserve"> [</w:t>
      </w:r>
      <w:r>
        <w:rPr>
          <w:i/>
          <w:sz w:val="22"/>
        </w:rPr>
        <w:t>emphasis in original</w:t>
      </w:r>
      <w:r>
        <w:rPr>
          <w:sz w:val="22"/>
        </w:rPr>
        <w:t>] individual- Mick Malthouse.</w:t>
      </w:r>
    </w:p>
    <w:p w14:paraId="627385DF" w14:textId="77777777" w:rsidR="00A6032A" w:rsidRDefault="006C4A89">
      <w:pPr>
        <w:spacing w:line="360" w:lineRule="auto"/>
        <w:ind w:firstLine="567"/>
        <w:rPr>
          <w:snapToGrid w:val="0"/>
          <w:color w:val="000000"/>
          <w:sz w:val="22"/>
        </w:rPr>
      </w:pPr>
      <w:r>
        <w:rPr>
          <w:sz w:val="22"/>
        </w:rPr>
        <w:t xml:space="preserve">Of greater significance to this personal intervention was that within 4 days of it </w:t>
      </w:r>
      <w:r>
        <w:rPr>
          <w:i/>
          <w:sz w:val="22"/>
        </w:rPr>
        <w:t>The West Austral</w:t>
      </w:r>
      <w:r>
        <w:rPr>
          <w:i/>
          <w:sz w:val="22"/>
        </w:rPr>
        <w:t>ian</w:t>
      </w:r>
      <w:r>
        <w:rPr>
          <w:sz w:val="22"/>
        </w:rPr>
        <w:t xml:space="preserve"> reported the formation of a new political force- the Liberals for the Forests. </w:t>
      </w:r>
      <w:r>
        <w:rPr>
          <w:snapToGrid w:val="0"/>
          <w:color w:val="000000"/>
          <w:sz w:val="22"/>
        </w:rPr>
        <w:t xml:space="preserve">This report mentioned other prominent West Australians opposed to logging who supported the new LFF: such as Liz Davenport (fashion industry), Dr Keith </w:t>
      </w:r>
      <w:proofErr w:type="spellStart"/>
      <w:r>
        <w:rPr>
          <w:snapToGrid w:val="0"/>
          <w:color w:val="000000"/>
          <w:sz w:val="22"/>
        </w:rPr>
        <w:t>Woollard</w:t>
      </w:r>
      <w:proofErr w:type="spellEnd"/>
      <w:r>
        <w:rPr>
          <w:snapToGrid w:val="0"/>
          <w:color w:val="000000"/>
          <w:sz w:val="22"/>
        </w:rPr>
        <w:t xml:space="preserve"> (heart surge</w:t>
      </w:r>
      <w:r>
        <w:rPr>
          <w:snapToGrid w:val="0"/>
          <w:color w:val="000000"/>
          <w:sz w:val="22"/>
        </w:rPr>
        <w:t>on) and Dame Rachel Cleland, who was described as the ‘</w:t>
      </w:r>
      <w:proofErr w:type="spellStart"/>
      <w:r>
        <w:rPr>
          <w:snapToGrid w:val="0"/>
          <w:color w:val="000000"/>
          <w:sz w:val="22"/>
        </w:rPr>
        <w:t>matriach</w:t>
      </w:r>
      <w:proofErr w:type="spellEnd"/>
      <w:r>
        <w:rPr>
          <w:snapToGrid w:val="0"/>
          <w:color w:val="000000"/>
          <w:sz w:val="22"/>
        </w:rPr>
        <w:t xml:space="preserve"> of the Liberal Party’. This article indicates that the public plea for the end of logging made by Mr Malthouse was the spark that saw the establishment of the LFF</w:t>
      </w:r>
      <w:r>
        <w:rPr>
          <w:rStyle w:val="EndnoteReference"/>
          <w:snapToGrid w:val="0"/>
          <w:color w:val="000000"/>
          <w:sz w:val="22"/>
        </w:rPr>
        <w:endnoteReference w:id="61"/>
      </w:r>
      <w:r>
        <w:rPr>
          <w:snapToGrid w:val="0"/>
          <w:color w:val="000000"/>
          <w:sz w:val="22"/>
        </w:rPr>
        <w:t>.</w:t>
      </w:r>
    </w:p>
    <w:p w14:paraId="04E3A417" w14:textId="77777777" w:rsidR="00A6032A" w:rsidRDefault="006C4A89">
      <w:pPr>
        <w:spacing w:line="360" w:lineRule="auto"/>
        <w:ind w:firstLine="567"/>
        <w:rPr>
          <w:sz w:val="22"/>
        </w:rPr>
      </w:pPr>
      <w:r>
        <w:rPr>
          <w:sz w:val="22"/>
        </w:rPr>
        <w:t>Earlier, on 8</w:t>
      </w:r>
      <w:r>
        <w:rPr>
          <w:sz w:val="22"/>
          <w:vertAlign w:val="superscript"/>
        </w:rPr>
        <w:t>th</w:t>
      </w:r>
      <w:r>
        <w:rPr>
          <w:sz w:val="22"/>
        </w:rPr>
        <w:t xml:space="preserve"> December 1</w:t>
      </w:r>
      <w:r>
        <w:rPr>
          <w:sz w:val="22"/>
        </w:rPr>
        <w:t xml:space="preserve">998, the debate over forest policy had also been disturbed by a </w:t>
      </w:r>
      <w:proofErr w:type="gramStart"/>
      <w:r>
        <w:rPr>
          <w:sz w:val="22"/>
        </w:rPr>
        <w:t>front page</w:t>
      </w:r>
      <w:proofErr w:type="gramEnd"/>
      <w:r>
        <w:rPr>
          <w:sz w:val="22"/>
        </w:rPr>
        <w:t xml:space="preserve"> article in </w:t>
      </w:r>
      <w:r>
        <w:rPr>
          <w:i/>
          <w:sz w:val="22"/>
        </w:rPr>
        <w:t>The West Australian</w:t>
      </w:r>
      <w:r>
        <w:rPr>
          <w:sz w:val="22"/>
        </w:rPr>
        <w:t xml:space="preserve"> reporting an Environment Protection Authority (EPA) review of CALM’s compliance with its own logging regulations.</w:t>
      </w:r>
      <w:r>
        <w:rPr>
          <w:rStyle w:val="EndnoteReference"/>
          <w:sz w:val="22"/>
        </w:rPr>
        <w:endnoteReference w:id="62"/>
      </w:r>
      <w:r>
        <w:rPr>
          <w:sz w:val="22"/>
        </w:rPr>
        <w:t xml:space="preserve"> The EPA’s report claimed that CALM was overcutting the native forests in the south west of WA. An official from the timber industry peak body FIFWA is convinced that this intervention into the debate by the EPA was a key event in turning the public opinio</w:t>
      </w:r>
      <w:r>
        <w:rPr>
          <w:sz w:val="22"/>
        </w:rPr>
        <w:t xml:space="preserve">n against the logging of old-growth forests as it seemed to be associated with an anti-RFA focus within the articles published by </w:t>
      </w:r>
      <w:r>
        <w:rPr>
          <w:i/>
          <w:sz w:val="22"/>
        </w:rPr>
        <w:t>The West Australian</w:t>
      </w:r>
      <w:r>
        <w:rPr>
          <w:sz w:val="22"/>
        </w:rPr>
        <w:t>:</w:t>
      </w:r>
    </w:p>
    <w:p w14:paraId="2C1AC54C" w14:textId="77777777" w:rsidR="00A6032A" w:rsidRDefault="006C4A89">
      <w:pPr>
        <w:spacing w:line="360" w:lineRule="auto"/>
        <w:ind w:left="1134" w:right="1134"/>
        <w:rPr>
          <w:sz w:val="22"/>
        </w:rPr>
      </w:pPr>
      <w:r>
        <w:rPr>
          <w:sz w:val="22"/>
        </w:rPr>
        <w:t xml:space="preserve">...one of the most damaging things that happened was the report the EPA put out which basically said the </w:t>
      </w:r>
      <w:r>
        <w:rPr>
          <w:sz w:val="22"/>
        </w:rPr>
        <w:t>government was overcutting [</w:t>
      </w:r>
      <w:r>
        <w:rPr>
          <w:i/>
          <w:sz w:val="22"/>
        </w:rPr>
        <w:t xml:space="preserve">the WA </w:t>
      </w:r>
      <w:proofErr w:type="gramStart"/>
      <w:r>
        <w:rPr>
          <w:i/>
          <w:sz w:val="22"/>
        </w:rPr>
        <w:t>forests</w:t>
      </w:r>
      <w:r>
        <w:rPr>
          <w:sz w:val="22"/>
        </w:rPr>
        <w:t>]…</w:t>
      </w:r>
      <w:proofErr w:type="gramEnd"/>
      <w:r>
        <w:rPr>
          <w:sz w:val="22"/>
        </w:rPr>
        <w:t xml:space="preserve"> got the press going, </w:t>
      </w:r>
      <w:r>
        <w:rPr>
          <w:i/>
          <w:sz w:val="22"/>
        </w:rPr>
        <w:t>The West</w:t>
      </w:r>
      <w:r>
        <w:rPr>
          <w:sz w:val="22"/>
        </w:rPr>
        <w:t xml:space="preserve"> particularly, and that led to a very sustained campaign by </w:t>
      </w:r>
      <w:r>
        <w:rPr>
          <w:i/>
          <w:sz w:val="22"/>
        </w:rPr>
        <w:t>The West</w:t>
      </w:r>
      <w:r>
        <w:rPr>
          <w:sz w:val="22"/>
        </w:rPr>
        <w:t xml:space="preserve">... they ran a  campaign for 4 or 5 months on the RFA and it was significant in changing public perception … </w:t>
      </w:r>
    </w:p>
    <w:p w14:paraId="1A0FBE44" w14:textId="77777777" w:rsidR="00A6032A" w:rsidRDefault="006C4A89">
      <w:pPr>
        <w:spacing w:line="360" w:lineRule="auto"/>
        <w:ind w:firstLine="567"/>
        <w:rPr>
          <w:sz w:val="22"/>
        </w:rPr>
      </w:pPr>
      <w:r>
        <w:rPr>
          <w:sz w:val="22"/>
        </w:rPr>
        <w:t xml:space="preserve">The </w:t>
      </w:r>
      <w:r>
        <w:rPr>
          <w:sz w:val="22"/>
        </w:rPr>
        <w:t xml:space="preserve">EPA report was also of importance in that it generated the first articles in </w:t>
      </w:r>
      <w:r>
        <w:rPr>
          <w:i/>
          <w:sz w:val="22"/>
        </w:rPr>
        <w:t>The West Australian</w:t>
      </w:r>
      <w:r>
        <w:rPr>
          <w:sz w:val="22"/>
        </w:rPr>
        <w:t xml:space="preserve"> suggesting that the Liberal and </w:t>
      </w:r>
      <w:proofErr w:type="spellStart"/>
      <w:r>
        <w:rPr>
          <w:sz w:val="22"/>
        </w:rPr>
        <w:t>Labor</w:t>
      </w:r>
      <w:proofErr w:type="spellEnd"/>
      <w:r>
        <w:rPr>
          <w:sz w:val="22"/>
        </w:rPr>
        <w:t xml:space="preserve"> parties were lagging far behind public opinion on forest policy</w:t>
      </w:r>
      <w:r>
        <w:rPr>
          <w:rStyle w:val="EndnoteReference"/>
          <w:sz w:val="22"/>
        </w:rPr>
        <w:endnoteReference w:id="63"/>
      </w:r>
      <w:r>
        <w:rPr>
          <w:sz w:val="22"/>
        </w:rPr>
        <w:t xml:space="preserve"> and that the “campaign against logging is starting to l</w:t>
      </w:r>
      <w:r>
        <w:rPr>
          <w:sz w:val="22"/>
        </w:rPr>
        <w:t>ook like an unstoppable force”</w:t>
      </w:r>
      <w:r>
        <w:rPr>
          <w:rStyle w:val="EndnoteReference"/>
          <w:sz w:val="22"/>
        </w:rPr>
        <w:endnoteReference w:id="64"/>
      </w:r>
      <w:r>
        <w:rPr>
          <w:sz w:val="22"/>
        </w:rPr>
        <w:t>. This first attack on CALM’s credibility was followed later in 1999 by an even more serious attack, initiated by CALM’s own scientific input to the RFA. One of the important claims by the central anti-logging stakeholders (</w:t>
      </w:r>
      <w:proofErr w:type="spellStart"/>
      <w:proofErr w:type="gramStart"/>
      <w:r>
        <w:rPr>
          <w:sz w:val="22"/>
        </w:rPr>
        <w:t>eg</w:t>
      </w:r>
      <w:proofErr w:type="spellEnd"/>
      <w:proofErr w:type="gramEnd"/>
      <w:r>
        <w:rPr>
          <w:sz w:val="22"/>
        </w:rPr>
        <w:t xml:space="preserve"> LFF and WAFA) was that CALM could not be trusted to manage the RFA process in an even-handed and unbiased fashion. The EPA report in December 1998 was the first dent in CALM’s credibility as a manager of the RFA process and the forests from a policy ‘in</w:t>
      </w:r>
      <w:r>
        <w:rPr>
          <w:sz w:val="22"/>
        </w:rPr>
        <w:t>sider’ but an even more serious attack was generated by a report on the maps used by CALM in the RFA. These maps outlined the vegetation types in the south west and defined the limits of the proposed new forest areas to be protected from future logging. Tw</w:t>
      </w:r>
      <w:r>
        <w:rPr>
          <w:sz w:val="22"/>
        </w:rPr>
        <w:t xml:space="preserve">o months after the Premier announced the RFA with new </w:t>
      </w:r>
      <w:r>
        <w:rPr>
          <w:sz w:val="22"/>
        </w:rPr>
        <w:lastRenderedPageBreak/>
        <w:t>forest reserves, CALM had to admit that some of the maps it used during the RFA process were wrong and that a number of claimed forest reserves were in fact gravel pits, a rubbish tip, 7,000ha of cleare</w:t>
      </w:r>
      <w:r>
        <w:rPr>
          <w:sz w:val="22"/>
        </w:rPr>
        <w:t>d farm lands and coastal shrub regions.</w:t>
      </w:r>
      <w:r>
        <w:rPr>
          <w:rStyle w:val="EndnoteReference"/>
          <w:sz w:val="22"/>
        </w:rPr>
        <w:endnoteReference w:id="65"/>
      </w:r>
      <w:r>
        <w:rPr>
          <w:sz w:val="22"/>
        </w:rPr>
        <w:t xml:space="preserve"> The article reporting these claims suggested that up to 30% of the new RFA reserves were not, in fact, forests.</w:t>
      </w:r>
      <w:r>
        <w:rPr>
          <w:rStyle w:val="EndnoteReference"/>
          <w:sz w:val="22"/>
        </w:rPr>
        <w:endnoteReference w:id="66"/>
      </w:r>
      <w:r>
        <w:rPr>
          <w:sz w:val="22"/>
        </w:rPr>
        <w:t xml:space="preserve"> Within two weeks of this controversy the Premier announced a revised RFA with lower logging limits</w:t>
      </w:r>
      <w:r>
        <w:rPr>
          <w:rStyle w:val="EndnoteReference"/>
          <w:sz w:val="22"/>
        </w:rPr>
        <w:endnoteReference w:id="67"/>
      </w:r>
      <w:r>
        <w:rPr>
          <w:sz w:val="22"/>
        </w:rPr>
        <w:t xml:space="preserve"> and within four months a new CALM CEO to replace Dr Syd Shea {who had been its Director for 16 years} was announced.</w:t>
      </w:r>
      <w:r>
        <w:rPr>
          <w:rStyle w:val="EndnoteReference"/>
          <w:sz w:val="22"/>
        </w:rPr>
        <w:endnoteReference w:id="68"/>
      </w:r>
      <w:r>
        <w:rPr>
          <w:sz w:val="22"/>
        </w:rPr>
        <w:t xml:space="preserve"> </w:t>
      </w:r>
    </w:p>
    <w:p w14:paraId="6902FF62" w14:textId="77777777" w:rsidR="00A6032A" w:rsidRDefault="00A6032A">
      <w:pPr>
        <w:spacing w:line="360" w:lineRule="auto"/>
        <w:rPr>
          <w:b/>
          <w:sz w:val="22"/>
        </w:rPr>
      </w:pPr>
    </w:p>
    <w:p w14:paraId="330C33C9" w14:textId="77777777" w:rsidR="00A6032A" w:rsidRDefault="006C4A89">
      <w:pPr>
        <w:spacing w:line="360" w:lineRule="auto"/>
        <w:rPr>
          <w:b/>
          <w:sz w:val="22"/>
        </w:rPr>
      </w:pPr>
      <w:r>
        <w:rPr>
          <w:b/>
          <w:sz w:val="22"/>
        </w:rPr>
        <w:t>The RFA Process</w:t>
      </w:r>
    </w:p>
    <w:p w14:paraId="762B700C" w14:textId="77777777" w:rsidR="00A6032A" w:rsidRDefault="006C4A89">
      <w:pPr>
        <w:spacing w:line="360" w:lineRule="auto"/>
        <w:ind w:firstLine="567"/>
      </w:pPr>
      <w:r>
        <w:rPr>
          <w:sz w:val="22"/>
        </w:rPr>
        <w:t>The Regional Forest Agreement (RFA) developed in WA by the Court Government during the period 1997-2000 is at the cent</w:t>
      </w:r>
      <w:r>
        <w:rPr>
          <w:sz w:val="22"/>
        </w:rPr>
        <w:t>re of my research. It is part of a national forest policy prepared under the aegis of the Council of Australian Governments (COAG).</w:t>
      </w:r>
      <w:r>
        <w:rPr>
          <w:rStyle w:val="EndnoteReference"/>
          <w:sz w:val="22"/>
        </w:rPr>
        <w:endnoteReference w:id="69"/>
      </w:r>
      <w:r>
        <w:rPr>
          <w:sz w:val="22"/>
        </w:rPr>
        <w:t xml:space="preserve"> This national policy was one of the recommendations of an extensive inquiry undertaken by the Resource Assessment Commissi</w:t>
      </w:r>
      <w:r>
        <w:rPr>
          <w:sz w:val="22"/>
        </w:rPr>
        <w:t>on in 1991 to identify and evaluate the options for the use of Australia’s forest and timber resources, with a particular focus on ensuring a permanent forest estate in Australia. The National Forest Policy Agreement was signed by all State Governments (</w:t>
      </w:r>
      <w:proofErr w:type="gramStart"/>
      <w:r>
        <w:rPr>
          <w:sz w:val="22"/>
        </w:rPr>
        <w:t>wi</w:t>
      </w:r>
      <w:r>
        <w:rPr>
          <w:sz w:val="22"/>
        </w:rPr>
        <w:t>th the exception of</w:t>
      </w:r>
      <w:proofErr w:type="gramEnd"/>
      <w:r>
        <w:rPr>
          <w:sz w:val="22"/>
        </w:rPr>
        <w:t xml:space="preserve"> Tasmania) in December 1992.</w:t>
      </w:r>
      <w:r>
        <w:rPr>
          <w:rStyle w:val="EndnoteReference"/>
          <w:sz w:val="22"/>
        </w:rPr>
        <w:endnoteReference w:id="70"/>
      </w:r>
      <w:r>
        <w:rPr>
          <w:sz w:val="22"/>
        </w:rPr>
        <w:t xml:space="preserve"> The RFA process required State agencies to prepare comprehensive management plans identifying the remaining areas of old growth forests and mapping the full range of values contained in these forests.</w:t>
      </w:r>
      <w:r>
        <w:rPr>
          <w:rStyle w:val="EndnoteReference"/>
          <w:sz w:val="22"/>
        </w:rPr>
        <w:endnoteReference w:id="71"/>
      </w:r>
      <w:r>
        <w:rPr>
          <w:sz w:val="22"/>
        </w:rPr>
        <w:t xml:space="preserve"> The</w:t>
      </w:r>
      <w:r>
        <w:rPr>
          <w:sz w:val="22"/>
        </w:rPr>
        <w:t xml:space="preserve"> process was undertaken in different ways in different states and in WA had been commenced by the Lawrence </w:t>
      </w:r>
      <w:proofErr w:type="spellStart"/>
      <w:r>
        <w:rPr>
          <w:sz w:val="22"/>
        </w:rPr>
        <w:t>Labor</w:t>
      </w:r>
      <w:proofErr w:type="spellEnd"/>
      <w:r>
        <w:rPr>
          <w:sz w:val="22"/>
        </w:rPr>
        <w:t xml:space="preserve"> Government in 1993. Its conclusion in 1999 was seen as a major factor in media reporting of forest issues in that year and the public activitie</w:t>
      </w:r>
      <w:r>
        <w:rPr>
          <w:sz w:val="22"/>
        </w:rPr>
        <w:t>s of both anti- and pro-logging SMOs.</w:t>
      </w:r>
    </w:p>
    <w:p w14:paraId="7B7667E1" w14:textId="77777777" w:rsidR="00A6032A" w:rsidRDefault="00A6032A">
      <w:pPr>
        <w:spacing w:line="360" w:lineRule="auto"/>
        <w:rPr>
          <w:b/>
          <w:sz w:val="22"/>
        </w:rPr>
      </w:pPr>
    </w:p>
    <w:p w14:paraId="087C15C2" w14:textId="77777777" w:rsidR="00A6032A" w:rsidRDefault="006C4A89">
      <w:pPr>
        <w:spacing w:line="360" w:lineRule="auto"/>
        <w:rPr>
          <w:b/>
          <w:sz w:val="22"/>
        </w:rPr>
      </w:pPr>
      <w:r>
        <w:rPr>
          <w:b/>
          <w:sz w:val="22"/>
        </w:rPr>
        <w:t>Interview Results</w:t>
      </w:r>
    </w:p>
    <w:p w14:paraId="1B5B6010" w14:textId="77777777" w:rsidR="00A6032A" w:rsidRDefault="006C4A89">
      <w:pPr>
        <w:spacing w:line="360" w:lineRule="auto"/>
        <w:ind w:firstLine="709"/>
        <w:jc w:val="both"/>
        <w:rPr>
          <w:sz w:val="22"/>
        </w:rPr>
      </w:pPr>
      <w:r>
        <w:rPr>
          <w:sz w:val="22"/>
        </w:rPr>
        <w:t xml:space="preserve">My interviews with a wide range of </w:t>
      </w:r>
      <w:proofErr w:type="spellStart"/>
      <w:r>
        <w:rPr>
          <w:sz w:val="22"/>
        </w:rPr>
        <w:t>stakholders</w:t>
      </w:r>
      <w:proofErr w:type="spellEnd"/>
      <w:r>
        <w:rPr>
          <w:sz w:val="22"/>
        </w:rPr>
        <w:t xml:space="preserve"> from the forest policy network in relation to their evaluation of the two case study organisations using </w:t>
      </w:r>
      <w:proofErr w:type="spellStart"/>
      <w:r>
        <w:rPr>
          <w:sz w:val="22"/>
        </w:rPr>
        <w:t>Schumaker’s</w:t>
      </w:r>
      <w:proofErr w:type="spellEnd"/>
      <w:r>
        <w:rPr>
          <w:sz w:val="22"/>
        </w:rPr>
        <w:t xml:space="preserve"> 5-level framework produced three cl</w:t>
      </w:r>
      <w:r>
        <w:rPr>
          <w:sz w:val="22"/>
        </w:rPr>
        <w:t xml:space="preserve">ear results. First, all interviewees found the framework easy to understand and helpful as a way of suggesting the organisational effectiveness. However, the </w:t>
      </w:r>
      <w:proofErr w:type="spellStart"/>
      <w:r>
        <w:rPr>
          <w:sz w:val="22"/>
        </w:rPr>
        <w:t>Schumaker</w:t>
      </w:r>
      <w:proofErr w:type="spellEnd"/>
      <w:r>
        <w:rPr>
          <w:sz w:val="22"/>
        </w:rPr>
        <w:t xml:space="preserve"> model seems to them to be a more useful framework for evaluating specific policy proposa</w:t>
      </w:r>
      <w:r>
        <w:rPr>
          <w:sz w:val="22"/>
        </w:rPr>
        <w:t>ls, as opposed to an overall measure of the organisation’s efforts. This insight is exemplified by the comments of a TCA staff member:</w:t>
      </w:r>
    </w:p>
    <w:p w14:paraId="1B80FC37" w14:textId="77777777" w:rsidR="00A6032A" w:rsidRDefault="006C4A89">
      <w:pPr>
        <w:spacing w:line="360" w:lineRule="auto"/>
        <w:ind w:left="1134" w:right="1134"/>
        <w:jc w:val="both"/>
        <w:rPr>
          <w:sz w:val="22"/>
        </w:rPr>
      </w:pPr>
      <w:r>
        <w:rPr>
          <w:sz w:val="22"/>
        </w:rPr>
        <w:t>I mean we did have a little success last week, for example, we put just over a particular local issue … we put to the Gov</w:t>
      </w:r>
      <w:r>
        <w:rPr>
          <w:sz w:val="22"/>
        </w:rPr>
        <w:t xml:space="preserve">ernment that the town of Pemberton is likely to be a casualty after the year 2003 with the karri cut-back … after 18 months nothing had happened with the promised plan for Pemberton … it was not forthcoming, we put a four-point action plan to the Premier. </w:t>
      </w:r>
      <w:r>
        <w:rPr>
          <w:sz w:val="22"/>
        </w:rPr>
        <w:t xml:space="preserve">Well, on that </w:t>
      </w:r>
      <w:proofErr w:type="gramStart"/>
      <w:r>
        <w:rPr>
          <w:sz w:val="22"/>
        </w:rPr>
        <w:t>particular instance</w:t>
      </w:r>
      <w:proofErr w:type="gramEnd"/>
      <w:r>
        <w:rPr>
          <w:sz w:val="22"/>
        </w:rPr>
        <w:t xml:space="preserve"> we are at level five, but overall … [interviewee trails off and indicates that they cannot determine the overall level of success]. </w:t>
      </w:r>
    </w:p>
    <w:p w14:paraId="3E587883" w14:textId="77777777" w:rsidR="00A6032A" w:rsidRDefault="006C4A89">
      <w:pPr>
        <w:pStyle w:val="BodyText3"/>
        <w:widowControl/>
        <w:tabs>
          <w:tab w:val="left" w:pos="9072"/>
        </w:tabs>
        <w:spacing w:line="360" w:lineRule="auto"/>
      </w:pPr>
      <w:r>
        <w:lastRenderedPageBreak/>
        <w:t>The relationship between NPOs and government is not of a fixed nature, so resists a gener</w:t>
      </w:r>
      <w:r>
        <w:t>alising assessment. The fact that many NPOs operate with a voluntary workforce adds to this instability — the goals of an organisation, the specific policy changes they advocate and their success in achieving government responsiveness to these aims are lik</w:t>
      </w:r>
      <w:r>
        <w:t xml:space="preserve">ely to change with the composition of their supporter base and with the activities of their opponents. In the assessment of campaigns, however, the </w:t>
      </w:r>
      <w:proofErr w:type="spellStart"/>
      <w:r>
        <w:t>Schumaker</w:t>
      </w:r>
      <w:proofErr w:type="spellEnd"/>
      <w:r>
        <w:t xml:space="preserve"> model can easily be applied to a short-term project with well-defined goals. As the above intervie</w:t>
      </w:r>
      <w:r>
        <w:t xml:space="preserve">w excerpt illustrates, the </w:t>
      </w:r>
      <w:proofErr w:type="spellStart"/>
      <w:r>
        <w:t>Schumaker</w:t>
      </w:r>
      <w:proofErr w:type="spellEnd"/>
      <w:r>
        <w:t xml:space="preserve"> model is ideal for the assessment of a NPO’s success in a specific campaign.</w:t>
      </w:r>
    </w:p>
    <w:p w14:paraId="63140BB6" w14:textId="77777777" w:rsidR="00A6032A" w:rsidRDefault="006C4A89">
      <w:pPr>
        <w:spacing w:line="360" w:lineRule="auto"/>
        <w:ind w:firstLine="709"/>
        <w:jc w:val="both"/>
        <w:rPr>
          <w:sz w:val="22"/>
        </w:rPr>
      </w:pPr>
      <w:r>
        <w:rPr>
          <w:sz w:val="22"/>
        </w:rPr>
        <w:t>The second outcome of the interviews was that it was very difficult to get a rating or response for the political effectiveness of the TCA and</w:t>
      </w:r>
      <w:r>
        <w:rPr>
          <w:sz w:val="22"/>
        </w:rPr>
        <w:t xml:space="preserve"> LFF from the politicians questioned. They talked around the issue rather than directly giving their view of the level of political influence of each group. This response was common across all political parties: </w:t>
      </w:r>
    </w:p>
    <w:p w14:paraId="131221F5" w14:textId="77777777" w:rsidR="00A6032A" w:rsidRDefault="006C4A89">
      <w:pPr>
        <w:spacing w:line="360" w:lineRule="auto"/>
        <w:ind w:left="1276" w:hanging="142"/>
        <w:jc w:val="both"/>
        <w:rPr>
          <w:sz w:val="22"/>
        </w:rPr>
      </w:pPr>
      <w:r>
        <w:rPr>
          <w:b/>
          <w:sz w:val="22"/>
        </w:rPr>
        <w:t>Liberal Cabinet Minister</w:t>
      </w:r>
      <w:r>
        <w:rPr>
          <w:sz w:val="22"/>
        </w:rPr>
        <w:t>: ‘So you’d have to</w:t>
      </w:r>
      <w:r>
        <w:rPr>
          <w:sz w:val="22"/>
        </w:rPr>
        <w:t xml:space="preserve"> ask them, not me. From my point of view, one, there was always access, ready access.</w:t>
      </w:r>
      <w:r>
        <w:rPr>
          <w:sz w:val="22"/>
        </w:rPr>
        <w:br/>
        <w:t xml:space="preserve"> </w:t>
      </w:r>
      <w:proofErr w:type="spellStart"/>
      <w:r>
        <w:rPr>
          <w:b/>
          <w:sz w:val="22"/>
        </w:rPr>
        <w:t>Labor</w:t>
      </w:r>
      <w:proofErr w:type="spellEnd"/>
      <w:r>
        <w:rPr>
          <w:b/>
          <w:sz w:val="22"/>
        </w:rPr>
        <w:t xml:space="preserve"> Shadow Minister</w:t>
      </w:r>
      <w:r>
        <w:rPr>
          <w:sz w:val="22"/>
        </w:rPr>
        <w:t xml:space="preserve">: ‘It is a bit hard for me to know, if you know what I mean, because particularly with the TCA, I </w:t>
      </w:r>
      <w:proofErr w:type="gramStart"/>
      <w:r>
        <w:rPr>
          <w:sz w:val="22"/>
        </w:rPr>
        <w:t>would</w:t>
      </w:r>
      <w:proofErr w:type="gramEnd"/>
      <w:r>
        <w:rPr>
          <w:sz w:val="22"/>
        </w:rPr>
        <w:t xml:space="preserve"> really have little idea of what they have do</w:t>
      </w:r>
      <w:r>
        <w:rPr>
          <w:sz w:val="22"/>
        </w:rPr>
        <w:t>ne’.</w:t>
      </w:r>
    </w:p>
    <w:p w14:paraId="39AD6981" w14:textId="77777777" w:rsidR="00A6032A" w:rsidRDefault="006C4A89">
      <w:pPr>
        <w:spacing w:line="360" w:lineRule="auto"/>
        <w:ind w:left="1276" w:hanging="142"/>
        <w:jc w:val="both"/>
        <w:rPr>
          <w:sz w:val="22"/>
        </w:rPr>
      </w:pPr>
      <w:r>
        <w:rPr>
          <w:b/>
          <w:sz w:val="22"/>
        </w:rPr>
        <w:t>Greens Legislative Council Member</w:t>
      </w:r>
      <w:r>
        <w:rPr>
          <w:sz w:val="22"/>
        </w:rPr>
        <w:t xml:space="preserve">: ‘I think that they sort of changed over time, and that they … with TCA I think they have gone through an interesting thing too … all this is in flux, none of this is in a final state for us all to look back and say, </w:t>
      </w:r>
      <w:r>
        <w:rPr>
          <w:sz w:val="22"/>
        </w:rPr>
        <w:t>well, this is how it all finished ….</w:t>
      </w:r>
    </w:p>
    <w:p w14:paraId="4CB547DD" w14:textId="77777777" w:rsidR="00A6032A" w:rsidRDefault="006C4A89">
      <w:pPr>
        <w:spacing w:line="360" w:lineRule="auto"/>
        <w:ind w:firstLine="567"/>
        <w:jc w:val="both"/>
        <w:rPr>
          <w:b/>
          <w:sz w:val="22"/>
        </w:rPr>
      </w:pPr>
      <w:r>
        <w:rPr>
          <w:sz w:val="22"/>
        </w:rPr>
        <w:t>In not answering the questions directly, the politicians avoided indicating what they considered to be successful tactics or what strategies would make more effective advocacy organisations. It might be suspected that t</w:t>
      </w:r>
      <w:r>
        <w:rPr>
          <w:sz w:val="22"/>
        </w:rPr>
        <w:t>he politicians wanted to diminish the role of social advocacy or interest groups in forming policy as it would paint the parliament and main political parties as being behind public opinion as represented by these SMOs.</w:t>
      </w:r>
      <w:r>
        <w:rPr>
          <w:rStyle w:val="EndnoteReference"/>
          <w:sz w:val="22"/>
        </w:rPr>
        <w:endnoteReference w:id="72"/>
      </w:r>
      <w:r>
        <w:rPr>
          <w:sz w:val="22"/>
        </w:rPr>
        <w:t xml:space="preserve"> Just such an assessment of the rel</w:t>
      </w:r>
      <w:r>
        <w:rPr>
          <w:sz w:val="22"/>
        </w:rPr>
        <w:t xml:space="preserve">ationship between parliament and advocacy organisations has been proposed by </w:t>
      </w:r>
      <w:proofErr w:type="spellStart"/>
      <w:r>
        <w:rPr>
          <w:sz w:val="22"/>
        </w:rPr>
        <w:t>Melucci</w:t>
      </w:r>
      <w:proofErr w:type="spellEnd"/>
      <w:r>
        <w:rPr>
          <w:sz w:val="22"/>
        </w:rPr>
        <w:t xml:space="preserve"> above. A similar finding to this one has also been provided by recent research into the effectiveness of a South Australian </w:t>
      </w:r>
      <w:proofErr w:type="gramStart"/>
      <w:r>
        <w:rPr>
          <w:sz w:val="22"/>
        </w:rPr>
        <w:t>service-based</w:t>
      </w:r>
      <w:proofErr w:type="gramEnd"/>
      <w:r>
        <w:rPr>
          <w:sz w:val="22"/>
        </w:rPr>
        <w:t xml:space="preserve"> NPO reported by Talbot and </w:t>
      </w:r>
      <w:proofErr w:type="spellStart"/>
      <w:r>
        <w:rPr>
          <w:sz w:val="22"/>
        </w:rPr>
        <w:t>Saj</w:t>
      </w:r>
      <w:proofErr w:type="spellEnd"/>
      <w:r>
        <w:rPr>
          <w:sz w:val="22"/>
        </w:rPr>
        <w:t>.</w:t>
      </w:r>
      <w:r>
        <w:rPr>
          <w:rStyle w:val="EndnoteReference"/>
          <w:sz w:val="22"/>
        </w:rPr>
        <w:endnoteReference w:id="73"/>
      </w:r>
      <w:r>
        <w:rPr>
          <w:sz w:val="22"/>
        </w:rPr>
        <w:t xml:space="preserve"> They too found that stakeholders within the public service were unwilling to provide a judgement on the effectiveness and the tactics of </w:t>
      </w:r>
      <w:proofErr w:type="spellStart"/>
      <w:r>
        <w:rPr>
          <w:sz w:val="22"/>
        </w:rPr>
        <w:t>nonprofit</w:t>
      </w:r>
      <w:proofErr w:type="spellEnd"/>
      <w:r>
        <w:rPr>
          <w:sz w:val="22"/>
        </w:rPr>
        <w:t xml:space="preserve"> organisations. Further research is needed on this interesting issue to understand whether these stakeholders</w:t>
      </w:r>
      <w:r>
        <w:rPr>
          <w:sz w:val="22"/>
        </w:rPr>
        <w:t xml:space="preserve"> decline to provide their judgements because they </w:t>
      </w:r>
      <w:proofErr w:type="gramStart"/>
      <w:r>
        <w:rPr>
          <w:sz w:val="22"/>
        </w:rPr>
        <w:t>don’t</w:t>
      </w:r>
      <w:proofErr w:type="gramEnd"/>
      <w:r>
        <w:rPr>
          <w:sz w:val="22"/>
        </w:rPr>
        <w:t xml:space="preserve"> wish to provide useful feedback to advocacy organisations, to not provide a formal role for SMOs acting as intermediaries between the public and parliament or because they have no idea of how to measu</w:t>
      </w:r>
      <w:r>
        <w:rPr>
          <w:sz w:val="22"/>
        </w:rPr>
        <w:t>re it in an objective way.</w:t>
      </w:r>
    </w:p>
    <w:p w14:paraId="6192C67F" w14:textId="77777777" w:rsidR="00A6032A" w:rsidRDefault="00A6032A">
      <w:pPr>
        <w:spacing w:line="360" w:lineRule="auto"/>
        <w:jc w:val="both"/>
        <w:rPr>
          <w:sz w:val="22"/>
        </w:rPr>
      </w:pPr>
    </w:p>
    <w:p w14:paraId="56D5CE7A" w14:textId="77777777" w:rsidR="00A6032A" w:rsidRDefault="006C4A89">
      <w:pPr>
        <w:spacing w:line="360" w:lineRule="auto"/>
        <w:ind w:firstLine="720"/>
        <w:jc w:val="both"/>
        <w:rPr>
          <w:sz w:val="22"/>
        </w:rPr>
      </w:pPr>
      <w:r>
        <w:rPr>
          <w:sz w:val="22"/>
        </w:rPr>
        <w:t>Finally, the most striking aspect of the results — and the outcome that has the most significant implications for further study of social activism in Australia — is the wide variation found in NPO members’ assessments of their own organisations. The result</w:t>
      </w:r>
      <w:r>
        <w:rPr>
          <w:sz w:val="22"/>
        </w:rPr>
        <w:t xml:space="preserve">s from these interviews using </w:t>
      </w:r>
      <w:proofErr w:type="spellStart"/>
      <w:r>
        <w:rPr>
          <w:sz w:val="22"/>
        </w:rPr>
        <w:lastRenderedPageBreak/>
        <w:t>Schumaker’s</w:t>
      </w:r>
      <w:proofErr w:type="spellEnd"/>
      <w:r>
        <w:rPr>
          <w:sz w:val="22"/>
        </w:rPr>
        <w:t xml:space="preserve"> framework confirm the assertion of Connolly </w:t>
      </w:r>
      <w:r>
        <w:rPr>
          <w:i/>
          <w:sz w:val="22"/>
        </w:rPr>
        <w:t>et al</w:t>
      </w:r>
      <w:r>
        <w:rPr>
          <w:sz w:val="22"/>
        </w:rPr>
        <w:t>. that an organisation’s effectiveness is constructed differently by different stakeholders in the policy network. A general tendency was for interviewees to minimis</w:t>
      </w:r>
      <w:r>
        <w:rPr>
          <w:sz w:val="22"/>
        </w:rPr>
        <w:t>e the impact their own organisation had made on the policy process, but to emphasise the impact of their opposing group. However, interviewees’ assessments of their own organisation varied widely. The following interview three excerpts from each organisati</w:t>
      </w:r>
      <w:r>
        <w:rPr>
          <w:sz w:val="22"/>
        </w:rPr>
        <w:t>on illustrate this variation:</w:t>
      </w:r>
    </w:p>
    <w:p w14:paraId="635EFE14" w14:textId="77777777" w:rsidR="00A6032A" w:rsidRDefault="006C4A89">
      <w:pPr>
        <w:spacing w:line="360" w:lineRule="auto"/>
        <w:ind w:left="1276" w:hanging="142"/>
        <w:jc w:val="both"/>
        <w:rPr>
          <w:sz w:val="22"/>
        </w:rPr>
      </w:pPr>
      <w:r>
        <w:rPr>
          <w:b/>
          <w:sz w:val="22"/>
        </w:rPr>
        <w:t>LFF supporter</w:t>
      </w:r>
      <w:r>
        <w:rPr>
          <w:sz w:val="22"/>
        </w:rPr>
        <w:t>: ‘Certainly if you are looking at the influence that we had on government policy, while access [level 1] certainly wasn’t a problem, anything past putting the forests on the policy agenda I’m afraid didn’t appear</w:t>
      </w:r>
      <w:r>
        <w:rPr>
          <w:sz w:val="22"/>
        </w:rPr>
        <w:t xml:space="preserve"> too </w:t>
      </w:r>
      <w:proofErr w:type="gramStart"/>
      <w:r>
        <w:rPr>
          <w:sz w:val="22"/>
        </w:rPr>
        <w:t>successful..</w:t>
      </w:r>
      <w:proofErr w:type="gramEnd"/>
    </w:p>
    <w:p w14:paraId="4E462459" w14:textId="77777777" w:rsidR="00A6032A" w:rsidRDefault="006C4A89">
      <w:pPr>
        <w:spacing w:line="360" w:lineRule="auto"/>
        <w:ind w:left="1276" w:hanging="142"/>
        <w:jc w:val="both"/>
        <w:rPr>
          <w:sz w:val="22"/>
        </w:rPr>
      </w:pPr>
      <w:r>
        <w:rPr>
          <w:b/>
          <w:sz w:val="22"/>
        </w:rPr>
        <w:t>LFF board member:</w:t>
      </w:r>
      <w:r>
        <w:rPr>
          <w:sz w:val="22"/>
        </w:rPr>
        <w:t xml:space="preserve"> ‘Whether we just take Liberals for Forests as by itself or whether you include all the other green groups having forced the change in the RFA, I’d say somewhere between [level] 3 and 4’.</w:t>
      </w:r>
    </w:p>
    <w:p w14:paraId="73ED576D" w14:textId="77777777" w:rsidR="00A6032A" w:rsidRDefault="006C4A89">
      <w:pPr>
        <w:spacing w:line="360" w:lineRule="auto"/>
        <w:ind w:left="1276" w:hanging="142"/>
        <w:jc w:val="both"/>
        <w:rPr>
          <w:sz w:val="22"/>
        </w:rPr>
      </w:pPr>
      <w:r>
        <w:rPr>
          <w:b/>
          <w:sz w:val="22"/>
        </w:rPr>
        <w:t>LFF worker</w:t>
      </w:r>
      <w:r>
        <w:rPr>
          <w:sz w:val="22"/>
        </w:rPr>
        <w:t xml:space="preserve">: ‘Well … yes, we </w:t>
      </w:r>
      <w:r>
        <w:rPr>
          <w:sz w:val="22"/>
        </w:rPr>
        <w:t>have had access [level 1], full stop. One, I guess, yes, it was on the agenda they made those minor changes to the RFA and minor changes to policy, so I guess … it went to number 5, initially,</w:t>
      </w:r>
      <w:r>
        <w:rPr>
          <w:rStyle w:val="EndnoteReference"/>
          <w:sz w:val="22"/>
        </w:rPr>
        <w:endnoteReference w:id="74"/>
      </w:r>
      <w:r>
        <w:rPr>
          <w:sz w:val="22"/>
        </w:rPr>
        <w:t xml:space="preserve"> but since then nothing’.</w:t>
      </w:r>
    </w:p>
    <w:p w14:paraId="733FDC6B" w14:textId="77777777" w:rsidR="00A6032A" w:rsidRDefault="006C4A89">
      <w:pPr>
        <w:spacing w:line="360" w:lineRule="auto"/>
        <w:ind w:left="1276" w:hanging="142"/>
        <w:jc w:val="both"/>
        <w:rPr>
          <w:sz w:val="22"/>
        </w:rPr>
      </w:pPr>
      <w:r>
        <w:rPr>
          <w:b/>
          <w:sz w:val="22"/>
        </w:rPr>
        <w:t>TCA supporter</w:t>
      </w:r>
      <w:r>
        <w:rPr>
          <w:sz w:val="22"/>
        </w:rPr>
        <w:t>: ‘Well yeah, Timber Co</w:t>
      </w:r>
      <w:r>
        <w:rPr>
          <w:sz w:val="22"/>
        </w:rPr>
        <w:t>mmunities of Australia would have to be at level 1, now you say a willingness of government to hear an organisation’s concerns’ ….</w:t>
      </w:r>
    </w:p>
    <w:p w14:paraId="73F7DD65" w14:textId="77777777" w:rsidR="00A6032A" w:rsidRDefault="006C4A89">
      <w:pPr>
        <w:spacing w:line="360" w:lineRule="auto"/>
        <w:ind w:left="1276" w:hanging="142"/>
        <w:jc w:val="both"/>
        <w:rPr>
          <w:sz w:val="22"/>
        </w:rPr>
      </w:pPr>
      <w:r>
        <w:rPr>
          <w:b/>
          <w:sz w:val="22"/>
        </w:rPr>
        <w:t>TCA supporter</w:t>
      </w:r>
      <w:r>
        <w:rPr>
          <w:sz w:val="22"/>
        </w:rPr>
        <w:t>: ‘So from our perspective I suppose … we even struggle to get access responsiveness [level 1] …’</w:t>
      </w:r>
    </w:p>
    <w:p w14:paraId="06F55485" w14:textId="77777777" w:rsidR="00A6032A" w:rsidRDefault="006C4A89">
      <w:pPr>
        <w:spacing w:line="360" w:lineRule="auto"/>
        <w:ind w:left="1276" w:hanging="142"/>
        <w:jc w:val="both"/>
        <w:rPr>
          <w:sz w:val="22"/>
        </w:rPr>
      </w:pPr>
      <w:r>
        <w:rPr>
          <w:b/>
          <w:sz w:val="22"/>
        </w:rPr>
        <w:t>TCA worker</w:t>
      </w:r>
      <w:r>
        <w:rPr>
          <w:sz w:val="22"/>
        </w:rPr>
        <w:t>: ‘I</w:t>
      </w:r>
      <w:r>
        <w:rPr>
          <w:sz w:val="22"/>
        </w:rPr>
        <w:t xml:space="preserve"> know, but it is difficult for me to say … we are not at 5 </w:t>
      </w:r>
      <w:proofErr w:type="gramStart"/>
      <w:r>
        <w:rPr>
          <w:sz w:val="22"/>
        </w:rPr>
        <w:t>overall</w:t>
      </w:r>
      <w:proofErr w:type="gramEnd"/>
      <w:r>
        <w:rPr>
          <w:sz w:val="22"/>
        </w:rPr>
        <w:t>, ‘output responsiveness’ … well we are certainly at [level] 2, we have got agenda responsiveness — to adopt the organisation’s concerns — well, you know, I’d put us at about 2 and a half, t</w:t>
      </w:r>
      <w:r>
        <w:rPr>
          <w:sz w:val="22"/>
        </w:rPr>
        <w:t>o be honest with you’.</w:t>
      </w:r>
    </w:p>
    <w:p w14:paraId="0CB82A4B" w14:textId="77777777" w:rsidR="00A6032A" w:rsidRDefault="006C4A89">
      <w:pPr>
        <w:spacing w:line="360" w:lineRule="auto"/>
        <w:ind w:firstLine="567"/>
        <w:rPr>
          <w:sz w:val="22"/>
        </w:rPr>
      </w:pPr>
      <w:r>
        <w:rPr>
          <w:sz w:val="22"/>
        </w:rPr>
        <w:t>This result was unexpected as those interviewed all had worked closely with one another and I had expected them to have a similar view as to how well they were doing in influencing the forest policy process. The interviews were under</w:t>
      </w:r>
      <w:r>
        <w:rPr>
          <w:sz w:val="22"/>
        </w:rPr>
        <w:t>taken just before the State election when this policy issue was getting wide media coverage. Both the LFF and TCA were in ‘campaign’ mode and I would have expected that those interviewed were working together on their organisation’s activities and would ha</w:t>
      </w:r>
      <w:r>
        <w:rPr>
          <w:sz w:val="22"/>
        </w:rPr>
        <w:t>ve a common or shared understanding of how well they and their opponents were doing. The following comments on the opposition organisation give a feeling for how their effectiveness was always seen to be greater than their own:</w:t>
      </w:r>
    </w:p>
    <w:p w14:paraId="103B26A9" w14:textId="77777777" w:rsidR="00A6032A" w:rsidRDefault="006C4A89">
      <w:pPr>
        <w:spacing w:line="360" w:lineRule="auto"/>
        <w:ind w:left="1276" w:hanging="142"/>
        <w:jc w:val="both"/>
        <w:rPr>
          <w:sz w:val="22"/>
        </w:rPr>
      </w:pPr>
      <w:r>
        <w:rPr>
          <w:b/>
          <w:sz w:val="22"/>
        </w:rPr>
        <w:t>LFF supporter</w:t>
      </w:r>
      <w:r>
        <w:rPr>
          <w:sz w:val="22"/>
        </w:rPr>
        <w:t>: ‘I think they</w:t>
      </w:r>
      <w:r>
        <w:rPr>
          <w:sz w:val="22"/>
        </w:rPr>
        <w:t xml:space="preserve"> went right through to impact responsiveness [level 5]’.</w:t>
      </w:r>
      <w:r>
        <w:rPr>
          <w:sz w:val="22"/>
        </w:rPr>
        <w:br/>
      </w:r>
      <w:r>
        <w:rPr>
          <w:b/>
          <w:sz w:val="22"/>
        </w:rPr>
        <w:t>LFF worker</w:t>
      </w:r>
      <w:r>
        <w:rPr>
          <w:sz w:val="22"/>
        </w:rPr>
        <w:t>: ‘Oh, well they have had access, certainly been on the agenda, the government have listened to them, and I guess where we are now, the fact that they are still logging means that they’re s</w:t>
      </w:r>
      <w:r>
        <w:rPr>
          <w:sz w:val="22"/>
        </w:rPr>
        <w:t>till have an impact.[level 5]’.</w:t>
      </w:r>
      <w:r>
        <w:rPr>
          <w:sz w:val="22"/>
        </w:rPr>
        <w:br/>
      </w:r>
      <w:r>
        <w:rPr>
          <w:b/>
          <w:sz w:val="22"/>
        </w:rPr>
        <w:t>TCA supporter</w:t>
      </w:r>
      <w:r>
        <w:rPr>
          <w:sz w:val="22"/>
        </w:rPr>
        <w:t xml:space="preserve">: ‘Oh yeah, the only thing is that I wouldn’t be prepared to say publicly what I know is going on behind the scenes, but you would have to say that they </w:t>
      </w:r>
      <w:r>
        <w:rPr>
          <w:sz w:val="22"/>
        </w:rPr>
        <w:lastRenderedPageBreak/>
        <w:t>[LFF/Greens] have won every round and that at this stage t</w:t>
      </w:r>
      <w:r>
        <w:rPr>
          <w:sz w:val="22"/>
        </w:rPr>
        <w:t>he government is listening totally to them …’.</w:t>
      </w:r>
    </w:p>
    <w:p w14:paraId="4846E9B3" w14:textId="77777777" w:rsidR="00A6032A" w:rsidRDefault="006C4A89">
      <w:pPr>
        <w:spacing w:line="360" w:lineRule="auto"/>
        <w:ind w:left="1276" w:hanging="142"/>
        <w:jc w:val="both"/>
        <w:rPr>
          <w:sz w:val="22"/>
        </w:rPr>
      </w:pPr>
      <w:r>
        <w:rPr>
          <w:b/>
          <w:sz w:val="22"/>
        </w:rPr>
        <w:t>TCA supporter</w:t>
      </w:r>
      <w:r>
        <w:rPr>
          <w:sz w:val="22"/>
        </w:rPr>
        <w:t xml:space="preserve">: ‘…and well the Liberals for Forests are right up to number five within a few </w:t>
      </w:r>
      <w:proofErr w:type="gramStart"/>
      <w:r>
        <w:rPr>
          <w:sz w:val="22"/>
        </w:rPr>
        <w:t>months’</w:t>
      </w:r>
      <w:proofErr w:type="gramEnd"/>
      <w:r>
        <w:rPr>
          <w:sz w:val="22"/>
        </w:rPr>
        <w:t>.</w:t>
      </w:r>
    </w:p>
    <w:p w14:paraId="63805CBB" w14:textId="77777777" w:rsidR="00A6032A" w:rsidRDefault="00A6032A">
      <w:pPr>
        <w:spacing w:line="360" w:lineRule="auto"/>
        <w:ind w:firstLine="720"/>
        <w:jc w:val="both"/>
        <w:rPr>
          <w:b/>
          <w:sz w:val="22"/>
        </w:rPr>
      </w:pPr>
    </w:p>
    <w:p w14:paraId="4E725091" w14:textId="77777777" w:rsidR="00A6032A" w:rsidRDefault="006C4A89">
      <w:pPr>
        <w:spacing w:line="360" w:lineRule="auto"/>
        <w:ind w:firstLine="720"/>
        <w:jc w:val="both"/>
        <w:rPr>
          <w:sz w:val="22"/>
        </w:rPr>
      </w:pPr>
      <w:r>
        <w:rPr>
          <w:sz w:val="22"/>
        </w:rPr>
        <w:t xml:space="preserve">This outcome was more expected. The campaign on changing the forest policy in WA had reached a point where </w:t>
      </w:r>
      <w:r>
        <w:rPr>
          <w:sz w:val="22"/>
        </w:rPr>
        <w:t xml:space="preserve">many of the pro-logging stakeholders interviewed accepted that their campaign to retain the existing policy had ‘lost’. On the other hand, the government’s forest policy as </w:t>
      </w:r>
      <w:proofErr w:type="spellStart"/>
      <w:r>
        <w:rPr>
          <w:sz w:val="22"/>
        </w:rPr>
        <w:t>outlinedin</w:t>
      </w:r>
      <w:proofErr w:type="spellEnd"/>
      <w:r>
        <w:rPr>
          <w:sz w:val="22"/>
        </w:rPr>
        <w:t xml:space="preserve"> the new RFA was still in place and CALM still had undisputed power to ma</w:t>
      </w:r>
      <w:r>
        <w:rPr>
          <w:sz w:val="22"/>
        </w:rPr>
        <w:t xml:space="preserve">nage the forest as it saw fit. Also, at this time it looked as if the Liberal/National Party Coalition would retain government at the forthcoming election as the ALP required a gain in seats that had </w:t>
      </w:r>
      <w:proofErr w:type="gramStart"/>
      <w:r>
        <w:rPr>
          <w:sz w:val="22"/>
        </w:rPr>
        <w:t>never before</w:t>
      </w:r>
      <w:proofErr w:type="gramEnd"/>
      <w:r>
        <w:rPr>
          <w:sz w:val="22"/>
        </w:rPr>
        <w:t xml:space="preserve"> been achieved. Therefore, the anti-logging </w:t>
      </w:r>
      <w:r>
        <w:rPr>
          <w:sz w:val="22"/>
        </w:rPr>
        <w:t xml:space="preserve">stakeholders thought that, while they may gain some </w:t>
      </w:r>
      <w:proofErr w:type="gramStart"/>
      <w:r>
        <w:rPr>
          <w:sz w:val="22"/>
        </w:rPr>
        <w:t>cut backs</w:t>
      </w:r>
      <w:proofErr w:type="gramEnd"/>
      <w:r>
        <w:rPr>
          <w:sz w:val="22"/>
        </w:rPr>
        <w:t xml:space="preserve"> in logging levels, the overall forest policy based on a ‘sustainable’ level of jarrah logging would continue post-election. Given this background, it was not surprising to see both sides rate th</w:t>
      </w:r>
      <w:r>
        <w:rPr>
          <w:sz w:val="22"/>
        </w:rPr>
        <w:t>eir opponents as more effective.</w:t>
      </w:r>
    </w:p>
    <w:p w14:paraId="1289B454" w14:textId="77777777" w:rsidR="00A6032A" w:rsidRDefault="006C4A89">
      <w:pPr>
        <w:spacing w:line="360" w:lineRule="auto"/>
        <w:ind w:firstLine="720"/>
        <w:jc w:val="both"/>
        <w:rPr>
          <w:sz w:val="22"/>
        </w:rPr>
      </w:pPr>
      <w:r>
        <w:rPr>
          <w:sz w:val="22"/>
        </w:rPr>
        <w:t>Other external stakeholders seem to have a range of views on each organisation’s level of effectiveness at impacting on policy:</w:t>
      </w:r>
    </w:p>
    <w:p w14:paraId="47D7B256" w14:textId="77777777" w:rsidR="00A6032A" w:rsidRDefault="006C4A89">
      <w:pPr>
        <w:spacing w:line="360" w:lineRule="auto"/>
        <w:ind w:left="1134" w:hanging="141"/>
        <w:jc w:val="both"/>
        <w:rPr>
          <w:sz w:val="22"/>
        </w:rPr>
      </w:pPr>
      <w:r>
        <w:rPr>
          <w:b/>
          <w:sz w:val="22"/>
        </w:rPr>
        <w:t>Senior union official</w:t>
      </w:r>
      <w:r>
        <w:rPr>
          <w:sz w:val="22"/>
        </w:rPr>
        <w:t>: ‘[long pause] … I reckon they are both at 2, both at 2, I don’t think ei</w:t>
      </w:r>
      <w:r>
        <w:rPr>
          <w:sz w:val="22"/>
        </w:rPr>
        <w:t>ther of them has won resoundingly the higher level of responsiveness’.</w:t>
      </w:r>
      <w:r>
        <w:rPr>
          <w:sz w:val="22"/>
        </w:rPr>
        <w:br/>
      </w:r>
      <w:r>
        <w:rPr>
          <w:b/>
          <w:sz w:val="22"/>
        </w:rPr>
        <w:t>Businessman</w:t>
      </w:r>
      <w:r>
        <w:rPr>
          <w:sz w:val="22"/>
        </w:rPr>
        <w:t>: ‘I’d say about [level] three [for TCA] and the conservationists [LFF] about [level] four’.</w:t>
      </w:r>
      <w:r>
        <w:rPr>
          <w:sz w:val="22"/>
        </w:rPr>
        <w:br/>
      </w:r>
      <w:r>
        <w:rPr>
          <w:b/>
          <w:sz w:val="22"/>
        </w:rPr>
        <w:t>Businesswoman</w:t>
      </w:r>
      <w:r>
        <w:rPr>
          <w:sz w:val="22"/>
        </w:rPr>
        <w:t>: ‘Well, they have [both] probably gotten up to about level 4 — outp</w:t>
      </w:r>
      <w:r>
        <w:rPr>
          <w:sz w:val="22"/>
        </w:rPr>
        <w:t>ut responsiveness — or where the Government is willing enough to implement an organisation’s concerns — they have actually — whether it was a willingness or not, they have implemented or they have been aware that they need to implement an organisation’s co</w:t>
      </w:r>
      <w:r>
        <w:rPr>
          <w:sz w:val="22"/>
        </w:rPr>
        <w:t>ncerns because they have made some changes’.</w:t>
      </w:r>
      <w:r>
        <w:rPr>
          <w:sz w:val="22"/>
        </w:rPr>
        <w:br/>
      </w:r>
      <w:r>
        <w:rPr>
          <w:b/>
          <w:sz w:val="22"/>
        </w:rPr>
        <w:t>Newspaper journalist</w:t>
      </w:r>
      <w:r>
        <w:rPr>
          <w:sz w:val="22"/>
        </w:rPr>
        <w:t xml:space="preserve">: ‘It is difficult to judge, I mean in some respects I think the impact responsiveness [level 5] … it is at a stalemate position. I think they are fairly equally </w:t>
      </w:r>
      <w:proofErr w:type="gramStart"/>
      <w:r>
        <w:rPr>
          <w:sz w:val="22"/>
        </w:rPr>
        <w:t>matched,.</w:t>
      </w:r>
      <w:proofErr w:type="gramEnd"/>
      <w:r>
        <w:rPr>
          <w:sz w:val="22"/>
        </w:rPr>
        <w:br/>
      </w:r>
    </w:p>
    <w:p w14:paraId="38E17372" w14:textId="77777777" w:rsidR="00A6032A" w:rsidRDefault="00A6032A">
      <w:pPr>
        <w:spacing w:line="360" w:lineRule="auto"/>
        <w:ind w:left="1134" w:hanging="141"/>
        <w:jc w:val="both"/>
        <w:rPr>
          <w:sz w:val="22"/>
        </w:rPr>
      </w:pPr>
    </w:p>
    <w:p w14:paraId="3C16ACF6" w14:textId="77777777" w:rsidR="00A6032A" w:rsidRDefault="006C4A89">
      <w:pPr>
        <w:spacing w:line="360" w:lineRule="auto"/>
      </w:pPr>
      <w:bookmarkStart w:id="0" w:name="_Toc436408282"/>
      <w:r>
        <w:t>Table 10 Stakehol</w:t>
      </w:r>
      <w:r>
        <w:t>ders judgement on organisational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A6032A" w14:paraId="1CEAEF03" w14:textId="77777777">
        <w:tc>
          <w:tcPr>
            <w:tcW w:w="3096" w:type="dxa"/>
          </w:tcPr>
          <w:p w14:paraId="4CF63D52" w14:textId="77777777" w:rsidR="00A6032A" w:rsidRDefault="00A6032A">
            <w:pPr>
              <w:pStyle w:val="BodyTextIndent"/>
              <w:ind w:firstLine="0"/>
            </w:pPr>
          </w:p>
        </w:tc>
        <w:tc>
          <w:tcPr>
            <w:tcW w:w="3096" w:type="dxa"/>
          </w:tcPr>
          <w:p w14:paraId="1D9B5878" w14:textId="77777777" w:rsidR="00A6032A" w:rsidRDefault="006C4A89">
            <w:pPr>
              <w:pStyle w:val="BodyTextIndent"/>
              <w:ind w:firstLine="0"/>
              <w:jc w:val="center"/>
              <w:rPr>
                <w:b/>
                <w:sz w:val="24"/>
              </w:rPr>
            </w:pPr>
            <w:r>
              <w:rPr>
                <w:b/>
                <w:sz w:val="24"/>
              </w:rPr>
              <w:t>Av. Effectiveness for TCA</w:t>
            </w:r>
          </w:p>
        </w:tc>
        <w:tc>
          <w:tcPr>
            <w:tcW w:w="3096" w:type="dxa"/>
          </w:tcPr>
          <w:p w14:paraId="6B9DB9B9" w14:textId="77777777" w:rsidR="00A6032A" w:rsidRDefault="006C4A89">
            <w:pPr>
              <w:pStyle w:val="BodyTextIndent"/>
              <w:ind w:firstLine="0"/>
              <w:jc w:val="center"/>
            </w:pPr>
            <w:r>
              <w:rPr>
                <w:b/>
                <w:sz w:val="24"/>
              </w:rPr>
              <w:t>Av. Effectiveness for LFF</w:t>
            </w:r>
          </w:p>
        </w:tc>
      </w:tr>
      <w:tr w:rsidR="00A6032A" w14:paraId="5405FC51" w14:textId="77777777">
        <w:tc>
          <w:tcPr>
            <w:tcW w:w="3096" w:type="dxa"/>
          </w:tcPr>
          <w:p w14:paraId="7BE002DA" w14:textId="77777777" w:rsidR="00A6032A" w:rsidRDefault="006C4A89">
            <w:pPr>
              <w:pStyle w:val="BodyTextIndent"/>
              <w:ind w:firstLine="0"/>
              <w:rPr>
                <w:b/>
                <w:sz w:val="20"/>
              </w:rPr>
            </w:pPr>
            <w:r>
              <w:rPr>
                <w:b/>
                <w:sz w:val="20"/>
              </w:rPr>
              <w:t>TCA Stakeholders</w:t>
            </w:r>
          </w:p>
        </w:tc>
        <w:tc>
          <w:tcPr>
            <w:tcW w:w="3096" w:type="dxa"/>
          </w:tcPr>
          <w:p w14:paraId="5BDA714F" w14:textId="77777777" w:rsidR="00A6032A" w:rsidRDefault="006C4A89">
            <w:pPr>
              <w:pStyle w:val="BodyTextIndent"/>
              <w:ind w:firstLine="0"/>
              <w:jc w:val="center"/>
              <w:rPr>
                <w:b/>
              </w:rPr>
            </w:pPr>
            <w:r>
              <w:rPr>
                <w:b/>
              </w:rPr>
              <w:t>1.3</w:t>
            </w:r>
          </w:p>
        </w:tc>
        <w:tc>
          <w:tcPr>
            <w:tcW w:w="3096" w:type="dxa"/>
          </w:tcPr>
          <w:p w14:paraId="6639D750" w14:textId="77777777" w:rsidR="00A6032A" w:rsidRDefault="006C4A89">
            <w:pPr>
              <w:pStyle w:val="BodyTextIndent"/>
              <w:ind w:firstLine="0"/>
              <w:jc w:val="center"/>
              <w:rPr>
                <w:b/>
              </w:rPr>
            </w:pPr>
            <w:r>
              <w:rPr>
                <w:b/>
              </w:rPr>
              <w:t>3.3</w:t>
            </w:r>
          </w:p>
        </w:tc>
      </w:tr>
      <w:tr w:rsidR="00A6032A" w14:paraId="0F37AD95" w14:textId="77777777">
        <w:tc>
          <w:tcPr>
            <w:tcW w:w="3096" w:type="dxa"/>
          </w:tcPr>
          <w:p w14:paraId="04AD8A9E" w14:textId="77777777" w:rsidR="00A6032A" w:rsidRDefault="006C4A89">
            <w:pPr>
              <w:pStyle w:val="BodyTextIndent"/>
              <w:ind w:firstLine="0"/>
              <w:rPr>
                <w:b/>
                <w:sz w:val="20"/>
              </w:rPr>
            </w:pPr>
            <w:r>
              <w:rPr>
                <w:b/>
                <w:sz w:val="20"/>
              </w:rPr>
              <w:t>LFF Stakeholders</w:t>
            </w:r>
          </w:p>
        </w:tc>
        <w:tc>
          <w:tcPr>
            <w:tcW w:w="3096" w:type="dxa"/>
          </w:tcPr>
          <w:p w14:paraId="10AB850D" w14:textId="77777777" w:rsidR="00A6032A" w:rsidRDefault="006C4A89">
            <w:pPr>
              <w:pStyle w:val="BodyTextIndent"/>
              <w:ind w:firstLine="0"/>
              <w:jc w:val="center"/>
              <w:rPr>
                <w:b/>
              </w:rPr>
            </w:pPr>
            <w:r>
              <w:rPr>
                <w:b/>
              </w:rPr>
              <w:t>4.8</w:t>
            </w:r>
          </w:p>
        </w:tc>
        <w:tc>
          <w:tcPr>
            <w:tcW w:w="3096" w:type="dxa"/>
          </w:tcPr>
          <w:p w14:paraId="1F1BF94C" w14:textId="77777777" w:rsidR="00A6032A" w:rsidRDefault="006C4A89">
            <w:pPr>
              <w:pStyle w:val="BodyTextIndent"/>
              <w:ind w:firstLine="0"/>
              <w:jc w:val="center"/>
              <w:rPr>
                <w:b/>
              </w:rPr>
            </w:pPr>
            <w:r>
              <w:rPr>
                <w:b/>
              </w:rPr>
              <w:t>2.3</w:t>
            </w:r>
          </w:p>
        </w:tc>
      </w:tr>
      <w:tr w:rsidR="00A6032A" w14:paraId="16A2949A" w14:textId="77777777">
        <w:tc>
          <w:tcPr>
            <w:tcW w:w="3096" w:type="dxa"/>
          </w:tcPr>
          <w:p w14:paraId="660ADFDA" w14:textId="77777777" w:rsidR="00A6032A" w:rsidRDefault="006C4A89">
            <w:pPr>
              <w:pStyle w:val="BodyTextIndent"/>
              <w:ind w:firstLine="0"/>
              <w:rPr>
                <w:b/>
                <w:sz w:val="20"/>
              </w:rPr>
            </w:pPr>
            <w:r>
              <w:rPr>
                <w:b/>
                <w:sz w:val="20"/>
              </w:rPr>
              <w:t>Other Stakeholders</w:t>
            </w:r>
          </w:p>
        </w:tc>
        <w:tc>
          <w:tcPr>
            <w:tcW w:w="3096" w:type="dxa"/>
          </w:tcPr>
          <w:p w14:paraId="4A3AAD46" w14:textId="77777777" w:rsidR="00A6032A" w:rsidRDefault="006C4A89">
            <w:pPr>
              <w:pStyle w:val="BodyTextIndent"/>
              <w:ind w:firstLine="0"/>
              <w:jc w:val="center"/>
              <w:rPr>
                <w:b/>
              </w:rPr>
            </w:pPr>
            <w:r>
              <w:rPr>
                <w:b/>
              </w:rPr>
              <w:t>3.2</w:t>
            </w:r>
          </w:p>
        </w:tc>
        <w:tc>
          <w:tcPr>
            <w:tcW w:w="3096" w:type="dxa"/>
          </w:tcPr>
          <w:p w14:paraId="481632AB" w14:textId="77777777" w:rsidR="00A6032A" w:rsidRDefault="006C4A89">
            <w:pPr>
              <w:pStyle w:val="BodyTextIndent"/>
              <w:ind w:firstLine="0"/>
              <w:jc w:val="center"/>
              <w:rPr>
                <w:b/>
              </w:rPr>
            </w:pPr>
            <w:r>
              <w:rPr>
                <w:b/>
              </w:rPr>
              <w:t>2.5</w:t>
            </w:r>
          </w:p>
        </w:tc>
      </w:tr>
    </w:tbl>
    <w:p w14:paraId="762BA08C" w14:textId="77777777" w:rsidR="00A6032A" w:rsidRDefault="00A6032A">
      <w:pPr>
        <w:spacing w:line="360" w:lineRule="auto"/>
      </w:pPr>
    </w:p>
    <w:p w14:paraId="02BB1B71" w14:textId="77777777" w:rsidR="00A6032A" w:rsidRDefault="006C4A89">
      <w:pPr>
        <w:spacing w:line="360" w:lineRule="auto"/>
        <w:ind w:firstLine="709"/>
        <w:jc w:val="both"/>
        <w:rPr>
          <w:sz w:val="22"/>
        </w:rPr>
      </w:pPr>
      <w:r>
        <w:rPr>
          <w:sz w:val="22"/>
        </w:rPr>
        <w:lastRenderedPageBreak/>
        <w:t xml:space="preserve">Table 10 outlines the different average values for </w:t>
      </w:r>
      <w:r>
        <w:rPr>
          <w:sz w:val="22"/>
        </w:rPr>
        <w:t xml:space="preserve">organisational effectiveness for the two case study organisations as seen by the interviewees when they are grouped into 3 sub-groups: those working for LFF, those for TCA and other network stakeholders. The external stakeholders seem to have a wide range </w:t>
      </w:r>
      <w:r>
        <w:rPr>
          <w:sz w:val="22"/>
        </w:rPr>
        <w:t>of views on each organisation’s level of effectiveness at impacting on forest policy in WA. This is because each of these external stakeholders is seeing the policy conflict through a narrow lens. Many of these external stakeholders are probably basing the</w:t>
      </w:r>
      <w:r>
        <w:rPr>
          <w:sz w:val="22"/>
        </w:rPr>
        <w:t xml:space="preserve">ir judgements on the activities of the TCA and LFF by what they read or see in the media. As we have seen above, it is not clear how the media judge newsworthiness but </w:t>
      </w:r>
      <w:proofErr w:type="gramStart"/>
      <w:r>
        <w:rPr>
          <w:sz w:val="22"/>
        </w:rPr>
        <w:t>it would seem that there</w:t>
      </w:r>
      <w:proofErr w:type="gramEnd"/>
      <w:r>
        <w:rPr>
          <w:sz w:val="22"/>
        </w:rPr>
        <w:t xml:space="preserve"> was a definite shift in reporting the forest conflict in mid-19</w:t>
      </w:r>
      <w:r>
        <w:rPr>
          <w:sz w:val="22"/>
        </w:rPr>
        <w:t>99.</w:t>
      </w:r>
    </w:p>
    <w:p w14:paraId="5F1865D6" w14:textId="77777777" w:rsidR="00A6032A" w:rsidRDefault="00A6032A">
      <w:pPr>
        <w:spacing w:line="360" w:lineRule="auto"/>
        <w:jc w:val="both"/>
        <w:rPr>
          <w:b/>
          <w:sz w:val="22"/>
        </w:rPr>
      </w:pPr>
    </w:p>
    <w:p w14:paraId="4607ADE4" w14:textId="77777777" w:rsidR="00A6032A" w:rsidRDefault="006C4A89">
      <w:pPr>
        <w:spacing w:line="360" w:lineRule="auto"/>
        <w:jc w:val="both"/>
        <w:rPr>
          <w:b/>
          <w:sz w:val="22"/>
        </w:rPr>
      </w:pPr>
      <w:r>
        <w:rPr>
          <w:b/>
          <w:sz w:val="22"/>
        </w:rPr>
        <w:t>Conclusion</w:t>
      </w:r>
      <w:bookmarkEnd w:id="0"/>
      <w:r>
        <w:rPr>
          <w:b/>
          <w:sz w:val="22"/>
        </w:rPr>
        <w:t xml:space="preserve"> </w:t>
      </w:r>
    </w:p>
    <w:p w14:paraId="2FA6EAEE" w14:textId="77777777" w:rsidR="00A6032A" w:rsidRDefault="006C4A89">
      <w:pPr>
        <w:spacing w:line="360" w:lineRule="auto"/>
        <w:ind w:firstLine="709"/>
        <w:jc w:val="both"/>
        <w:rPr>
          <w:sz w:val="22"/>
        </w:rPr>
      </w:pPr>
      <w:r>
        <w:rPr>
          <w:sz w:val="22"/>
        </w:rPr>
        <w:t xml:space="preserve">The information provided above shows how the timber industry was a key one for enabling the establishment and development of the new colony. Over the past century there has been a dramatic drop in value of timber exports from the </w:t>
      </w:r>
      <w:r>
        <w:rPr>
          <w:sz w:val="22"/>
        </w:rPr>
        <w:t>south west of WA and in the number of timber companies operating here. This is linked to a decrease in the ability of timber industry stakeholders to influence the public debate on forest policy, particularly in the past 30 years as new industries (such wi</w:t>
      </w:r>
      <w:r>
        <w:rPr>
          <w:sz w:val="22"/>
        </w:rPr>
        <w:t>ne and tourism) have developed in the region. The growth of these new industries has been associated with a dramatic public shift in attitude to the utility of timber. In a national poll conducted during its inquiry into the Australian forest industry, the</w:t>
      </w:r>
      <w:r>
        <w:rPr>
          <w:sz w:val="22"/>
        </w:rPr>
        <w:t xml:space="preserve"> Resource Assessment Commission found that </w:t>
      </w:r>
      <w:proofErr w:type="gramStart"/>
      <w:r>
        <w:rPr>
          <w:sz w:val="22"/>
        </w:rPr>
        <w:t>the majority of</w:t>
      </w:r>
      <w:proofErr w:type="gramEnd"/>
      <w:r>
        <w:rPr>
          <w:sz w:val="22"/>
        </w:rPr>
        <w:t xml:space="preserve"> Australians were in favour of the halting of logging in National Estate forests, even if it caused economic hardship.</w:t>
      </w:r>
      <w:r>
        <w:rPr>
          <w:rStyle w:val="EndnoteReference"/>
          <w:sz w:val="22"/>
        </w:rPr>
        <w:endnoteReference w:id="75"/>
      </w:r>
      <w:r>
        <w:t xml:space="preserve"> </w:t>
      </w:r>
      <w:r>
        <w:rPr>
          <w:sz w:val="22"/>
        </w:rPr>
        <w:t xml:space="preserve">In WA, old-growth native forests are now seen to have greater value if </w:t>
      </w:r>
      <w:r>
        <w:rPr>
          <w:sz w:val="22"/>
        </w:rPr>
        <w:t xml:space="preserve">left uncut and in their natural state. These new attitudes are seen to have had precursors in some of the comments made during the three Royal Commissions into the timber industry. The debate between the pro- and anti-logging movements was at its greatest </w:t>
      </w:r>
      <w:r>
        <w:rPr>
          <w:sz w:val="22"/>
        </w:rPr>
        <w:t xml:space="preserve">during 1999 when a new RFA was announced and then quickly amended by the Court Government. Interviews undertaken at this time with key forest policy stakeholders has provided some important results in terms of analysing the organisational effectiveness of </w:t>
      </w:r>
      <w:r>
        <w:rPr>
          <w:sz w:val="22"/>
        </w:rPr>
        <w:t>advocacy organisations.</w:t>
      </w:r>
    </w:p>
    <w:p w14:paraId="318F83E7" w14:textId="77777777" w:rsidR="00A6032A" w:rsidRDefault="006C4A89">
      <w:pPr>
        <w:spacing w:line="360" w:lineRule="auto"/>
        <w:ind w:firstLine="709"/>
        <w:jc w:val="both"/>
        <w:rPr>
          <w:sz w:val="22"/>
        </w:rPr>
      </w:pPr>
      <w:r>
        <w:rPr>
          <w:sz w:val="22"/>
        </w:rPr>
        <w:t xml:space="preserve">The results reported above on the usefulness of </w:t>
      </w:r>
      <w:proofErr w:type="spellStart"/>
      <w:r>
        <w:rPr>
          <w:sz w:val="22"/>
        </w:rPr>
        <w:t>Schumaker’s</w:t>
      </w:r>
      <w:proofErr w:type="spellEnd"/>
      <w:r>
        <w:rPr>
          <w:sz w:val="22"/>
        </w:rPr>
        <w:t xml:space="preserve"> framework confirm the approach of Connolly </w:t>
      </w:r>
      <w:r>
        <w:rPr>
          <w:i/>
          <w:sz w:val="22"/>
        </w:rPr>
        <w:t>et al.</w:t>
      </w:r>
      <w:r>
        <w:rPr>
          <w:sz w:val="22"/>
        </w:rPr>
        <w:t xml:space="preserve"> — that there is no one common construct of the organisational or political effectiveness of social advocacy organisations.</w:t>
      </w:r>
      <w:r>
        <w:rPr>
          <w:sz w:val="22"/>
        </w:rPr>
        <w:t xml:space="preserve"> </w:t>
      </w:r>
      <w:proofErr w:type="spellStart"/>
      <w:r>
        <w:rPr>
          <w:sz w:val="22"/>
        </w:rPr>
        <w:t>Schumaker’s</w:t>
      </w:r>
      <w:proofErr w:type="spellEnd"/>
      <w:r>
        <w:rPr>
          <w:sz w:val="22"/>
        </w:rPr>
        <w:t xml:space="preserve"> framework has proven to be a useful one for exploring the impact on the policy process of the two organisations being studied. </w:t>
      </w:r>
      <w:proofErr w:type="gramStart"/>
      <w:r>
        <w:rPr>
          <w:sz w:val="22"/>
        </w:rPr>
        <w:t>Its  usefulness</w:t>
      </w:r>
      <w:proofErr w:type="gramEnd"/>
      <w:r>
        <w:rPr>
          <w:sz w:val="22"/>
        </w:rPr>
        <w:t xml:space="preserve"> is much greater, however, if the model is used to analyse the impact of individual policy proposals </w:t>
      </w:r>
      <w:r>
        <w:rPr>
          <w:sz w:val="22"/>
        </w:rPr>
        <w:t xml:space="preserve">rather than as a way of assessing the overall effectiveness of the </w:t>
      </w:r>
      <w:proofErr w:type="spellStart"/>
      <w:r>
        <w:rPr>
          <w:sz w:val="22"/>
        </w:rPr>
        <w:t>organisation.An</w:t>
      </w:r>
      <w:proofErr w:type="spellEnd"/>
      <w:r>
        <w:rPr>
          <w:sz w:val="22"/>
        </w:rPr>
        <w:t xml:space="preserve"> important factor arising from this research was the problem of stakeholders trying to identify an influence order (or causality) in the effectiveness or impact of the organi</w:t>
      </w:r>
      <w:r>
        <w:rPr>
          <w:sz w:val="22"/>
        </w:rPr>
        <w:t>sation’s policy proposals being studied. Another difficulty raised by interviewees is one that follows the suggestion of Joseph Banks</w:t>
      </w:r>
      <w:r>
        <w:rPr>
          <w:rStyle w:val="EndnoteReference"/>
          <w:sz w:val="22"/>
        </w:rPr>
        <w:endnoteReference w:id="76"/>
      </w:r>
      <w:r>
        <w:rPr>
          <w:sz w:val="22"/>
        </w:rPr>
        <w:t xml:space="preserve"> that the efforts of advocacy organisations may be historically specific. This is similar to an earlier suggestion from </w:t>
      </w:r>
      <w:proofErr w:type="spellStart"/>
      <w:r>
        <w:rPr>
          <w:sz w:val="22"/>
        </w:rPr>
        <w:t>H</w:t>
      </w:r>
      <w:r>
        <w:rPr>
          <w:sz w:val="22"/>
        </w:rPr>
        <w:t>eberle</w:t>
      </w:r>
      <w:proofErr w:type="spellEnd"/>
      <w:r>
        <w:rPr>
          <w:rStyle w:val="EndnoteReference"/>
          <w:sz w:val="22"/>
        </w:rPr>
        <w:endnoteReference w:id="77"/>
      </w:r>
      <w:r>
        <w:rPr>
          <w:sz w:val="22"/>
        </w:rPr>
        <w:t xml:space="preserve"> that these groups are driven by the ‘problem of political </w:t>
      </w:r>
      <w:proofErr w:type="gramStart"/>
      <w:r>
        <w:rPr>
          <w:sz w:val="22"/>
        </w:rPr>
        <w:t>generations’</w:t>
      </w:r>
      <w:proofErr w:type="gramEnd"/>
      <w:r>
        <w:rPr>
          <w:sz w:val="22"/>
        </w:rPr>
        <w:t xml:space="preserve">. These authors argue that the </w:t>
      </w:r>
      <w:r>
        <w:rPr>
          <w:sz w:val="22"/>
        </w:rPr>
        <w:lastRenderedPageBreak/>
        <w:t>construction of effectiveness of a particular organisation differs over time and with the values of the enveloping popular and political cultures.</w:t>
      </w:r>
      <w:r>
        <w:rPr>
          <w:sz w:val="22"/>
        </w:rPr>
        <w:t xml:space="preserve"> To further explore these perceptions of effectiveness would be assisted by a longitudinal study as well as a cross-sectional one as used in this project.</w:t>
      </w:r>
      <w:r>
        <w:rPr>
          <w:rStyle w:val="EndnoteReference"/>
          <w:sz w:val="22"/>
        </w:rPr>
        <w:endnoteReference w:id="78"/>
      </w:r>
      <w:r>
        <w:rPr>
          <w:sz w:val="22"/>
        </w:rPr>
        <w:t xml:space="preserve"> A far harder issue is George Marcus’s premise that ‘human endeavours may well be governed more by e</w:t>
      </w:r>
      <w:r>
        <w:rPr>
          <w:sz w:val="22"/>
        </w:rPr>
        <w:t>motional processes than by rational or cognitive processes’.</w:t>
      </w:r>
      <w:r>
        <w:rPr>
          <w:rStyle w:val="EndnoteReference"/>
          <w:sz w:val="22"/>
        </w:rPr>
        <w:t xml:space="preserve"> </w:t>
      </w:r>
      <w:r>
        <w:rPr>
          <w:rStyle w:val="EndnoteReference"/>
          <w:sz w:val="22"/>
        </w:rPr>
        <w:endnoteReference w:id="79"/>
      </w:r>
      <w:r>
        <w:rPr>
          <w:sz w:val="22"/>
        </w:rPr>
        <w:t xml:space="preserve"> This sentiment was echoed by a number of the interviewees in their discussions of the native forest logging issue and their perceptions of organisational effectiveness.</w:t>
      </w:r>
    </w:p>
    <w:p w14:paraId="69C40DC8" w14:textId="77777777" w:rsidR="00A6032A" w:rsidRDefault="006C4A89">
      <w:pPr>
        <w:spacing w:line="360" w:lineRule="auto"/>
        <w:ind w:firstLine="720"/>
        <w:jc w:val="both"/>
        <w:rPr>
          <w:sz w:val="22"/>
        </w:rPr>
      </w:pPr>
      <w:r>
        <w:rPr>
          <w:sz w:val="22"/>
        </w:rPr>
        <w:t>Finally, the developmen</w:t>
      </w:r>
      <w:r>
        <w:rPr>
          <w:sz w:val="22"/>
        </w:rPr>
        <w:t xml:space="preserve">t of the modern environmental movement in Australia since the 1970s has </w:t>
      </w:r>
      <w:proofErr w:type="spellStart"/>
      <w:r>
        <w:rPr>
          <w:sz w:val="22"/>
        </w:rPr>
        <w:t>parallelled</w:t>
      </w:r>
      <w:proofErr w:type="spellEnd"/>
      <w:r>
        <w:rPr>
          <w:sz w:val="22"/>
        </w:rPr>
        <w:t xml:space="preserve"> that of the North American and Western European movements in their focus on the logging of old growth forests and the new public values implicit in suggested alternative us</w:t>
      </w:r>
      <w:r>
        <w:rPr>
          <w:sz w:val="22"/>
        </w:rPr>
        <w:t>es, such as tourism.</w:t>
      </w:r>
      <w:r>
        <w:rPr>
          <w:rStyle w:val="EndnoteReference"/>
          <w:sz w:val="22"/>
        </w:rPr>
        <w:endnoteReference w:id="80"/>
      </w:r>
      <w:r>
        <w:rPr>
          <w:sz w:val="22"/>
        </w:rPr>
        <w:t xml:space="preserve"> The results of this research into the social construction of effectiveness should be of interest to Australian and overseas advocacy organisations campaigning not only on forest issues, but on other major environmental issues as well</w:t>
      </w:r>
      <w:r>
        <w:rPr>
          <w:sz w:val="22"/>
        </w:rPr>
        <w:t xml:space="preserve">. The message to these social advocacy organisations is that they will be judged as effective if they structure their tactics and public messages in different ways for different stakeholders in their </w:t>
      </w:r>
      <w:proofErr w:type="gramStart"/>
      <w:r>
        <w:rPr>
          <w:sz w:val="22"/>
        </w:rPr>
        <w:t>particular policy</w:t>
      </w:r>
      <w:proofErr w:type="gramEnd"/>
      <w:r>
        <w:rPr>
          <w:sz w:val="22"/>
        </w:rPr>
        <w:t xml:space="preserve"> network.</w:t>
      </w:r>
    </w:p>
    <w:p w14:paraId="21519BD5" w14:textId="77777777" w:rsidR="00A6032A" w:rsidRDefault="006C4A89">
      <w:pPr>
        <w:spacing w:line="360" w:lineRule="auto"/>
      </w:pPr>
      <w:r>
        <w:rPr>
          <w:sz w:val="22"/>
        </w:rPr>
        <w:br w:type="page"/>
      </w:r>
      <w:r>
        <w:lastRenderedPageBreak/>
        <w:t>Appendix 1- 1998-99 Newspape</w:t>
      </w:r>
      <w:r>
        <w:t>r editorials on forest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663"/>
        <w:gridCol w:w="4017"/>
      </w:tblGrid>
      <w:tr w:rsidR="00A6032A" w14:paraId="5F5EB0D2" w14:textId="77777777">
        <w:trPr>
          <w:trHeight w:hRule="exact" w:val="480"/>
        </w:trPr>
        <w:tc>
          <w:tcPr>
            <w:tcW w:w="2840" w:type="dxa"/>
            <w:tcBorders>
              <w:bottom w:val="single" w:sz="18" w:space="0" w:color="auto"/>
            </w:tcBorders>
          </w:tcPr>
          <w:p w14:paraId="52D3FC9D" w14:textId="77777777" w:rsidR="00A6032A" w:rsidRDefault="006C4A89">
            <w:pPr>
              <w:spacing w:line="360" w:lineRule="auto"/>
              <w:jc w:val="center"/>
              <w:rPr>
                <w:rFonts w:ascii="Arial" w:hAnsi="Arial"/>
                <w:b/>
                <w:sz w:val="24"/>
                <w:lang w:val="en-US"/>
              </w:rPr>
            </w:pPr>
            <w:r>
              <w:rPr>
                <w:rFonts w:ascii="Arial" w:hAnsi="Arial"/>
                <w:b/>
                <w:sz w:val="24"/>
                <w:lang w:val="en-US"/>
              </w:rPr>
              <w:t>Newspaper</w:t>
            </w:r>
          </w:p>
        </w:tc>
        <w:tc>
          <w:tcPr>
            <w:tcW w:w="1663" w:type="dxa"/>
            <w:tcBorders>
              <w:bottom w:val="single" w:sz="18" w:space="0" w:color="auto"/>
            </w:tcBorders>
          </w:tcPr>
          <w:p w14:paraId="298F02C1" w14:textId="77777777" w:rsidR="00A6032A" w:rsidRDefault="006C4A89">
            <w:pPr>
              <w:spacing w:line="360" w:lineRule="auto"/>
              <w:jc w:val="center"/>
              <w:rPr>
                <w:rFonts w:ascii="Arial" w:hAnsi="Arial"/>
                <w:b/>
                <w:sz w:val="24"/>
                <w:lang w:val="en-US"/>
              </w:rPr>
            </w:pPr>
            <w:r>
              <w:rPr>
                <w:rFonts w:ascii="Arial" w:hAnsi="Arial"/>
                <w:b/>
                <w:sz w:val="24"/>
                <w:lang w:val="en-US"/>
              </w:rPr>
              <w:t>Date</w:t>
            </w:r>
          </w:p>
        </w:tc>
        <w:tc>
          <w:tcPr>
            <w:tcW w:w="4017" w:type="dxa"/>
            <w:tcBorders>
              <w:bottom w:val="single" w:sz="18" w:space="0" w:color="auto"/>
            </w:tcBorders>
          </w:tcPr>
          <w:p w14:paraId="6E697948" w14:textId="77777777" w:rsidR="00A6032A" w:rsidRDefault="006C4A89">
            <w:pPr>
              <w:spacing w:line="360" w:lineRule="auto"/>
              <w:jc w:val="center"/>
              <w:rPr>
                <w:rFonts w:ascii="Arial" w:hAnsi="Arial"/>
                <w:b/>
                <w:sz w:val="24"/>
                <w:lang w:val="en-US"/>
              </w:rPr>
            </w:pPr>
            <w:r>
              <w:rPr>
                <w:rFonts w:ascii="Arial" w:hAnsi="Arial"/>
                <w:b/>
                <w:sz w:val="24"/>
                <w:lang w:val="en-US"/>
              </w:rPr>
              <w:t>Title</w:t>
            </w:r>
          </w:p>
        </w:tc>
      </w:tr>
      <w:tr w:rsidR="00A6032A" w14:paraId="5295A76D" w14:textId="77777777">
        <w:trPr>
          <w:trHeight w:hRule="exact" w:val="360"/>
        </w:trPr>
        <w:tc>
          <w:tcPr>
            <w:tcW w:w="2840" w:type="dxa"/>
            <w:tcBorders>
              <w:top w:val="nil"/>
              <w:left w:val="nil"/>
              <w:right w:val="nil"/>
            </w:tcBorders>
          </w:tcPr>
          <w:p w14:paraId="4EB25742" w14:textId="77777777" w:rsidR="00A6032A" w:rsidRDefault="006C4A89">
            <w:pPr>
              <w:spacing w:line="360" w:lineRule="auto"/>
              <w:rPr>
                <w:b/>
                <w:lang w:val="en-US"/>
              </w:rPr>
            </w:pPr>
            <w:r>
              <w:rPr>
                <w:b/>
                <w:lang w:val="en-US"/>
              </w:rPr>
              <w:t>1998</w:t>
            </w:r>
          </w:p>
        </w:tc>
        <w:tc>
          <w:tcPr>
            <w:tcW w:w="1663" w:type="dxa"/>
            <w:tcBorders>
              <w:top w:val="nil"/>
              <w:left w:val="nil"/>
              <w:right w:val="nil"/>
            </w:tcBorders>
          </w:tcPr>
          <w:p w14:paraId="2ACA5931" w14:textId="77777777" w:rsidR="00A6032A" w:rsidRDefault="00A6032A">
            <w:pPr>
              <w:spacing w:line="360" w:lineRule="auto"/>
              <w:jc w:val="center"/>
              <w:rPr>
                <w:b/>
                <w:lang w:val="en-US"/>
              </w:rPr>
            </w:pPr>
          </w:p>
        </w:tc>
        <w:tc>
          <w:tcPr>
            <w:tcW w:w="4017" w:type="dxa"/>
            <w:tcBorders>
              <w:top w:val="nil"/>
              <w:left w:val="nil"/>
              <w:right w:val="nil"/>
            </w:tcBorders>
          </w:tcPr>
          <w:p w14:paraId="2FCC7AF4" w14:textId="77777777" w:rsidR="00A6032A" w:rsidRDefault="00A6032A">
            <w:pPr>
              <w:spacing w:line="360" w:lineRule="auto"/>
              <w:jc w:val="center"/>
              <w:rPr>
                <w:b/>
                <w:lang w:val="en-US"/>
              </w:rPr>
            </w:pPr>
          </w:p>
        </w:tc>
      </w:tr>
      <w:tr w:rsidR="00A6032A" w14:paraId="59BC456D" w14:textId="77777777">
        <w:trPr>
          <w:trHeight w:hRule="exact" w:val="360"/>
        </w:trPr>
        <w:tc>
          <w:tcPr>
            <w:tcW w:w="2840" w:type="dxa"/>
          </w:tcPr>
          <w:p w14:paraId="5244D0B2" w14:textId="77777777" w:rsidR="00A6032A" w:rsidRDefault="006C4A89">
            <w:pPr>
              <w:spacing w:line="360" w:lineRule="auto"/>
              <w:ind w:firstLine="426"/>
              <w:rPr>
                <w:b/>
                <w:lang w:val="en-US"/>
              </w:rPr>
            </w:pPr>
            <w:r>
              <w:rPr>
                <w:b/>
                <w:lang w:val="en-US"/>
              </w:rPr>
              <w:t>Sunday Times</w:t>
            </w:r>
          </w:p>
        </w:tc>
        <w:tc>
          <w:tcPr>
            <w:tcW w:w="1663" w:type="dxa"/>
          </w:tcPr>
          <w:p w14:paraId="35071D2C" w14:textId="77777777" w:rsidR="00A6032A" w:rsidRDefault="006C4A89">
            <w:pPr>
              <w:spacing w:line="360" w:lineRule="auto"/>
              <w:jc w:val="center"/>
              <w:rPr>
                <w:b/>
                <w:lang w:val="en-US"/>
              </w:rPr>
            </w:pPr>
            <w:r>
              <w:rPr>
                <w:b/>
                <w:lang w:val="en-US"/>
              </w:rPr>
              <w:t>29 November</w:t>
            </w:r>
          </w:p>
        </w:tc>
        <w:tc>
          <w:tcPr>
            <w:tcW w:w="4017" w:type="dxa"/>
          </w:tcPr>
          <w:p w14:paraId="6CF6F906" w14:textId="77777777" w:rsidR="00A6032A" w:rsidRDefault="006C4A89">
            <w:pPr>
              <w:spacing w:line="360" w:lineRule="auto"/>
              <w:rPr>
                <w:lang w:val="en-US"/>
              </w:rPr>
            </w:pPr>
            <w:r>
              <w:rPr>
                <w:lang w:val="en-US"/>
              </w:rPr>
              <w:t>Cutting down our heritage</w:t>
            </w:r>
          </w:p>
        </w:tc>
      </w:tr>
      <w:tr w:rsidR="00A6032A" w14:paraId="69A178FE" w14:textId="77777777">
        <w:trPr>
          <w:trHeight w:hRule="exact" w:val="360"/>
        </w:trPr>
        <w:tc>
          <w:tcPr>
            <w:tcW w:w="2840" w:type="dxa"/>
            <w:tcBorders>
              <w:bottom w:val="nil"/>
            </w:tcBorders>
          </w:tcPr>
          <w:p w14:paraId="26C05651" w14:textId="77777777" w:rsidR="00A6032A" w:rsidRDefault="006C4A89">
            <w:pPr>
              <w:spacing w:line="360" w:lineRule="auto"/>
              <w:rPr>
                <w:b/>
                <w:lang w:val="en-US"/>
              </w:rPr>
            </w:pPr>
            <w:r>
              <w:rPr>
                <w:b/>
                <w:lang w:val="en-US"/>
              </w:rPr>
              <w:t>The West Australian</w:t>
            </w:r>
          </w:p>
        </w:tc>
        <w:tc>
          <w:tcPr>
            <w:tcW w:w="1663" w:type="dxa"/>
            <w:tcBorders>
              <w:bottom w:val="nil"/>
            </w:tcBorders>
          </w:tcPr>
          <w:p w14:paraId="3BBC3499" w14:textId="77777777" w:rsidR="00A6032A" w:rsidRDefault="006C4A89">
            <w:pPr>
              <w:spacing w:line="360" w:lineRule="auto"/>
              <w:jc w:val="center"/>
              <w:rPr>
                <w:b/>
                <w:lang w:val="en-US"/>
              </w:rPr>
            </w:pPr>
            <w:r>
              <w:rPr>
                <w:b/>
                <w:lang w:val="en-US"/>
              </w:rPr>
              <w:t>9 December</w:t>
            </w:r>
          </w:p>
        </w:tc>
        <w:tc>
          <w:tcPr>
            <w:tcW w:w="4017" w:type="dxa"/>
            <w:tcBorders>
              <w:bottom w:val="nil"/>
            </w:tcBorders>
          </w:tcPr>
          <w:p w14:paraId="3E3A9CE3" w14:textId="77777777" w:rsidR="00A6032A" w:rsidRDefault="006C4A89">
            <w:pPr>
              <w:spacing w:line="360" w:lineRule="auto"/>
              <w:rPr>
                <w:lang w:val="en-US"/>
              </w:rPr>
            </w:pPr>
            <w:r>
              <w:rPr>
                <w:lang w:val="en-US"/>
              </w:rPr>
              <w:t>Judicial inquiry into CALM needed</w:t>
            </w:r>
          </w:p>
        </w:tc>
      </w:tr>
      <w:tr w:rsidR="00A6032A" w14:paraId="217F03E2" w14:textId="77777777">
        <w:trPr>
          <w:trHeight w:hRule="exact" w:val="360"/>
        </w:trPr>
        <w:tc>
          <w:tcPr>
            <w:tcW w:w="2840" w:type="dxa"/>
            <w:tcBorders>
              <w:left w:val="nil"/>
              <w:right w:val="nil"/>
            </w:tcBorders>
          </w:tcPr>
          <w:p w14:paraId="72ABA1E1" w14:textId="77777777" w:rsidR="00A6032A" w:rsidRDefault="006C4A89">
            <w:pPr>
              <w:spacing w:line="360" w:lineRule="auto"/>
              <w:rPr>
                <w:b/>
                <w:lang w:val="en-US"/>
              </w:rPr>
            </w:pPr>
            <w:r>
              <w:rPr>
                <w:b/>
                <w:lang w:val="en-US"/>
              </w:rPr>
              <w:t>1999</w:t>
            </w:r>
          </w:p>
        </w:tc>
        <w:tc>
          <w:tcPr>
            <w:tcW w:w="1663" w:type="dxa"/>
            <w:tcBorders>
              <w:left w:val="nil"/>
              <w:right w:val="nil"/>
            </w:tcBorders>
          </w:tcPr>
          <w:p w14:paraId="3D6E2D60" w14:textId="77777777" w:rsidR="00A6032A" w:rsidRDefault="00A6032A">
            <w:pPr>
              <w:spacing w:line="360" w:lineRule="auto"/>
              <w:jc w:val="center"/>
              <w:rPr>
                <w:b/>
                <w:lang w:val="en-US"/>
              </w:rPr>
            </w:pPr>
          </w:p>
        </w:tc>
        <w:tc>
          <w:tcPr>
            <w:tcW w:w="4017" w:type="dxa"/>
            <w:tcBorders>
              <w:left w:val="nil"/>
              <w:right w:val="nil"/>
            </w:tcBorders>
          </w:tcPr>
          <w:p w14:paraId="46CF806F" w14:textId="77777777" w:rsidR="00A6032A" w:rsidRDefault="00A6032A">
            <w:pPr>
              <w:spacing w:line="360" w:lineRule="auto"/>
              <w:rPr>
                <w:lang w:val="en-US"/>
              </w:rPr>
            </w:pPr>
          </w:p>
        </w:tc>
      </w:tr>
      <w:tr w:rsidR="00A6032A" w14:paraId="456BB9FE" w14:textId="77777777">
        <w:trPr>
          <w:trHeight w:hRule="exact" w:val="360"/>
        </w:trPr>
        <w:tc>
          <w:tcPr>
            <w:tcW w:w="2840" w:type="dxa"/>
          </w:tcPr>
          <w:p w14:paraId="20C4BB9C" w14:textId="77777777" w:rsidR="00A6032A" w:rsidRDefault="006C4A89">
            <w:pPr>
              <w:spacing w:line="360" w:lineRule="auto"/>
              <w:rPr>
                <w:b/>
                <w:lang w:val="en-US"/>
              </w:rPr>
            </w:pPr>
            <w:r>
              <w:rPr>
                <w:b/>
                <w:lang w:val="en-US"/>
              </w:rPr>
              <w:t>The West Australian</w:t>
            </w:r>
          </w:p>
        </w:tc>
        <w:tc>
          <w:tcPr>
            <w:tcW w:w="1663" w:type="dxa"/>
          </w:tcPr>
          <w:p w14:paraId="365E2697" w14:textId="77777777" w:rsidR="00A6032A" w:rsidRDefault="006C4A89">
            <w:pPr>
              <w:spacing w:line="360" w:lineRule="auto"/>
              <w:rPr>
                <w:b/>
                <w:lang w:val="en-US"/>
              </w:rPr>
            </w:pPr>
            <w:r>
              <w:rPr>
                <w:b/>
                <w:lang w:val="en-US"/>
              </w:rPr>
              <w:t>4 February</w:t>
            </w:r>
          </w:p>
        </w:tc>
        <w:tc>
          <w:tcPr>
            <w:tcW w:w="4017" w:type="dxa"/>
          </w:tcPr>
          <w:p w14:paraId="54FB3D4E" w14:textId="77777777" w:rsidR="00A6032A" w:rsidRDefault="006C4A89">
            <w:pPr>
              <w:spacing w:line="360" w:lineRule="auto"/>
              <w:rPr>
                <w:lang w:val="en-US"/>
              </w:rPr>
            </w:pPr>
            <w:r>
              <w:rPr>
                <w:lang w:val="en-US"/>
              </w:rPr>
              <w:t>Political pain forces Court's hand</w:t>
            </w:r>
          </w:p>
        </w:tc>
      </w:tr>
      <w:tr w:rsidR="00A6032A" w14:paraId="31A54004" w14:textId="77777777">
        <w:trPr>
          <w:trHeight w:hRule="exact" w:val="360"/>
        </w:trPr>
        <w:tc>
          <w:tcPr>
            <w:tcW w:w="2840" w:type="dxa"/>
          </w:tcPr>
          <w:p w14:paraId="50CB2B40" w14:textId="77777777" w:rsidR="00A6032A" w:rsidRDefault="006C4A89">
            <w:pPr>
              <w:spacing w:line="360" w:lineRule="auto"/>
              <w:rPr>
                <w:b/>
                <w:lang w:val="en-US"/>
              </w:rPr>
            </w:pPr>
            <w:r>
              <w:rPr>
                <w:b/>
                <w:lang w:val="en-US"/>
              </w:rPr>
              <w:t>The West Australian</w:t>
            </w:r>
          </w:p>
        </w:tc>
        <w:tc>
          <w:tcPr>
            <w:tcW w:w="1663" w:type="dxa"/>
          </w:tcPr>
          <w:p w14:paraId="1D471842" w14:textId="77777777" w:rsidR="00A6032A" w:rsidRDefault="006C4A89">
            <w:pPr>
              <w:spacing w:line="360" w:lineRule="auto"/>
              <w:rPr>
                <w:b/>
                <w:lang w:val="en-US"/>
              </w:rPr>
            </w:pPr>
            <w:r>
              <w:rPr>
                <w:b/>
                <w:lang w:val="en-US"/>
              </w:rPr>
              <w:t>16 March</w:t>
            </w:r>
          </w:p>
        </w:tc>
        <w:tc>
          <w:tcPr>
            <w:tcW w:w="4017" w:type="dxa"/>
          </w:tcPr>
          <w:p w14:paraId="4B7A65EE" w14:textId="77777777" w:rsidR="00A6032A" w:rsidRDefault="006C4A89">
            <w:pPr>
              <w:spacing w:line="360" w:lineRule="auto"/>
              <w:rPr>
                <w:lang w:val="en-US"/>
              </w:rPr>
            </w:pPr>
            <w:r>
              <w:rPr>
                <w:lang w:val="en-US"/>
              </w:rPr>
              <w:t>Tuckey's tactics are out of order</w:t>
            </w:r>
          </w:p>
        </w:tc>
      </w:tr>
      <w:tr w:rsidR="00A6032A" w14:paraId="5C9F1B53" w14:textId="77777777">
        <w:trPr>
          <w:trHeight w:hRule="exact" w:val="360"/>
        </w:trPr>
        <w:tc>
          <w:tcPr>
            <w:tcW w:w="2840" w:type="dxa"/>
          </w:tcPr>
          <w:p w14:paraId="2B95AA27" w14:textId="77777777" w:rsidR="00A6032A" w:rsidRDefault="006C4A89">
            <w:pPr>
              <w:spacing w:line="360" w:lineRule="auto"/>
              <w:ind w:firstLine="426"/>
              <w:rPr>
                <w:b/>
                <w:lang w:val="en-US"/>
              </w:rPr>
            </w:pPr>
            <w:r>
              <w:rPr>
                <w:b/>
                <w:lang w:val="en-US"/>
              </w:rPr>
              <w:t>Sunday Times</w:t>
            </w:r>
          </w:p>
        </w:tc>
        <w:tc>
          <w:tcPr>
            <w:tcW w:w="1663" w:type="dxa"/>
          </w:tcPr>
          <w:p w14:paraId="27AD65B3" w14:textId="77777777" w:rsidR="00A6032A" w:rsidRDefault="006C4A89">
            <w:pPr>
              <w:spacing w:line="360" w:lineRule="auto"/>
              <w:rPr>
                <w:b/>
                <w:lang w:val="en-US"/>
              </w:rPr>
            </w:pPr>
            <w:r>
              <w:rPr>
                <w:b/>
                <w:lang w:val="en-US"/>
              </w:rPr>
              <w:t>21 March</w:t>
            </w:r>
          </w:p>
        </w:tc>
        <w:tc>
          <w:tcPr>
            <w:tcW w:w="4017" w:type="dxa"/>
          </w:tcPr>
          <w:p w14:paraId="42233B1A" w14:textId="77777777" w:rsidR="00A6032A" w:rsidRDefault="006C4A89">
            <w:pPr>
              <w:spacing w:line="360" w:lineRule="auto"/>
              <w:rPr>
                <w:lang w:val="en-US"/>
              </w:rPr>
            </w:pPr>
            <w:r>
              <w:rPr>
                <w:lang w:val="en-US"/>
              </w:rPr>
              <w:t>Gallop talks sense in forest row</w:t>
            </w:r>
          </w:p>
        </w:tc>
      </w:tr>
      <w:tr w:rsidR="00A6032A" w14:paraId="02939EF2" w14:textId="77777777">
        <w:trPr>
          <w:trHeight w:hRule="exact" w:val="360"/>
        </w:trPr>
        <w:tc>
          <w:tcPr>
            <w:tcW w:w="2840" w:type="dxa"/>
          </w:tcPr>
          <w:p w14:paraId="5EE838E9" w14:textId="77777777" w:rsidR="00A6032A" w:rsidRDefault="006C4A89">
            <w:pPr>
              <w:spacing w:line="360" w:lineRule="auto"/>
              <w:rPr>
                <w:b/>
                <w:lang w:val="en-US"/>
              </w:rPr>
            </w:pPr>
            <w:r>
              <w:rPr>
                <w:b/>
                <w:lang w:val="en-US"/>
              </w:rPr>
              <w:t>The West Australian</w:t>
            </w:r>
          </w:p>
        </w:tc>
        <w:tc>
          <w:tcPr>
            <w:tcW w:w="1663" w:type="dxa"/>
          </w:tcPr>
          <w:p w14:paraId="0DDC22DB" w14:textId="77777777" w:rsidR="00A6032A" w:rsidRDefault="006C4A89">
            <w:pPr>
              <w:spacing w:line="360" w:lineRule="auto"/>
              <w:rPr>
                <w:b/>
                <w:lang w:val="en-US"/>
              </w:rPr>
            </w:pPr>
            <w:r>
              <w:rPr>
                <w:b/>
                <w:lang w:val="en-US"/>
              </w:rPr>
              <w:t>5 May</w:t>
            </w:r>
          </w:p>
        </w:tc>
        <w:tc>
          <w:tcPr>
            <w:tcW w:w="4017" w:type="dxa"/>
          </w:tcPr>
          <w:p w14:paraId="5131E7BA" w14:textId="77777777" w:rsidR="00A6032A" w:rsidRDefault="006C4A89">
            <w:pPr>
              <w:spacing w:line="360" w:lineRule="auto"/>
              <w:rPr>
                <w:lang w:val="en-US"/>
              </w:rPr>
            </w:pPr>
            <w:r>
              <w:rPr>
                <w:lang w:val="en-US"/>
              </w:rPr>
              <w:t>Premier's challenge is to sell RFA</w:t>
            </w:r>
          </w:p>
        </w:tc>
      </w:tr>
      <w:tr w:rsidR="00A6032A" w14:paraId="5B3BB5A6" w14:textId="77777777">
        <w:trPr>
          <w:trHeight w:hRule="exact" w:val="360"/>
        </w:trPr>
        <w:tc>
          <w:tcPr>
            <w:tcW w:w="2840" w:type="dxa"/>
          </w:tcPr>
          <w:p w14:paraId="74454B41" w14:textId="77777777" w:rsidR="00A6032A" w:rsidRDefault="006C4A89">
            <w:pPr>
              <w:spacing w:line="360" w:lineRule="auto"/>
              <w:rPr>
                <w:b/>
                <w:lang w:val="en-US"/>
              </w:rPr>
            </w:pPr>
            <w:r>
              <w:rPr>
                <w:b/>
                <w:lang w:val="en-US"/>
              </w:rPr>
              <w:t>The West Australian</w:t>
            </w:r>
          </w:p>
        </w:tc>
        <w:tc>
          <w:tcPr>
            <w:tcW w:w="1663" w:type="dxa"/>
          </w:tcPr>
          <w:p w14:paraId="2164F64D" w14:textId="77777777" w:rsidR="00A6032A" w:rsidRDefault="006C4A89">
            <w:pPr>
              <w:spacing w:line="360" w:lineRule="auto"/>
              <w:rPr>
                <w:b/>
                <w:lang w:val="en-US"/>
              </w:rPr>
            </w:pPr>
            <w:r>
              <w:rPr>
                <w:b/>
                <w:lang w:val="en-US"/>
              </w:rPr>
              <w:t>9 June</w:t>
            </w:r>
          </w:p>
        </w:tc>
        <w:tc>
          <w:tcPr>
            <w:tcW w:w="4017" w:type="dxa"/>
          </w:tcPr>
          <w:p w14:paraId="3949B1ED" w14:textId="77777777" w:rsidR="00A6032A" w:rsidRDefault="006C4A89">
            <w:pPr>
              <w:spacing w:line="360" w:lineRule="auto"/>
              <w:rPr>
                <w:lang w:val="en-US"/>
              </w:rPr>
            </w:pPr>
            <w:r>
              <w:rPr>
                <w:lang w:val="en-US"/>
              </w:rPr>
              <w:t>Police must be seen as non-partisan</w:t>
            </w:r>
          </w:p>
        </w:tc>
      </w:tr>
      <w:tr w:rsidR="00A6032A" w14:paraId="27A9BA67" w14:textId="77777777">
        <w:trPr>
          <w:trHeight w:hRule="exact" w:val="360"/>
        </w:trPr>
        <w:tc>
          <w:tcPr>
            <w:tcW w:w="2840" w:type="dxa"/>
          </w:tcPr>
          <w:p w14:paraId="1CB4985E" w14:textId="77777777" w:rsidR="00A6032A" w:rsidRDefault="006C4A89">
            <w:pPr>
              <w:spacing w:line="360" w:lineRule="auto"/>
              <w:rPr>
                <w:b/>
                <w:lang w:val="en-US"/>
              </w:rPr>
            </w:pPr>
            <w:r>
              <w:rPr>
                <w:b/>
                <w:lang w:val="en-US"/>
              </w:rPr>
              <w:t xml:space="preserve">The </w:t>
            </w:r>
            <w:r>
              <w:rPr>
                <w:b/>
                <w:lang w:val="en-US"/>
              </w:rPr>
              <w:t>West Australian</w:t>
            </w:r>
          </w:p>
        </w:tc>
        <w:tc>
          <w:tcPr>
            <w:tcW w:w="1663" w:type="dxa"/>
          </w:tcPr>
          <w:p w14:paraId="574619AD" w14:textId="77777777" w:rsidR="00A6032A" w:rsidRDefault="006C4A89">
            <w:pPr>
              <w:spacing w:line="360" w:lineRule="auto"/>
              <w:rPr>
                <w:b/>
                <w:lang w:val="en-US"/>
              </w:rPr>
            </w:pPr>
            <w:r>
              <w:rPr>
                <w:b/>
                <w:lang w:val="en-US"/>
              </w:rPr>
              <w:t>10 June</w:t>
            </w:r>
          </w:p>
        </w:tc>
        <w:tc>
          <w:tcPr>
            <w:tcW w:w="4017" w:type="dxa"/>
          </w:tcPr>
          <w:p w14:paraId="3753DF49" w14:textId="77777777" w:rsidR="00A6032A" w:rsidRDefault="006C4A89">
            <w:pPr>
              <w:spacing w:line="360" w:lineRule="auto"/>
              <w:rPr>
                <w:lang w:val="en-US"/>
              </w:rPr>
            </w:pPr>
            <w:r>
              <w:rPr>
                <w:lang w:val="en-US"/>
              </w:rPr>
              <w:t>No public good in trivial charge</w:t>
            </w:r>
          </w:p>
        </w:tc>
      </w:tr>
      <w:tr w:rsidR="00A6032A" w14:paraId="40202274" w14:textId="77777777">
        <w:trPr>
          <w:trHeight w:hRule="exact" w:val="360"/>
        </w:trPr>
        <w:tc>
          <w:tcPr>
            <w:tcW w:w="2840" w:type="dxa"/>
          </w:tcPr>
          <w:p w14:paraId="3560D4D0" w14:textId="77777777" w:rsidR="00A6032A" w:rsidRDefault="006C4A89">
            <w:pPr>
              <w:spacing w:line="360" w:lineRule="auto"/>
              <w:rPr>
                <w:b/>
                <w:lang w:val="en-US"/>
              </w:rPr>
            </w:pPr>
            <w:r>
              <w:rPr>
                <w:b/>
                <w:lang w:val="en-US"/>
              </w:rPr>
              <w:t>The West Australian</w:t>
            </w:r>
          </w:p>
        </w:tc>
        <w:tc>
          <w:tcPr>
            <w:tcW w:w="1663" w:type="dxa"/>
          </w:tcPr>
          <w:p w14:paraId="5ED10FC5" w14:textId="77777777" w:rsidR="00A6032A" w:rsidRDefault="006C4A89">
            <w:pPr>
              <w:spacing w:line="360" w:lineRule="auto"/>
              <w:rPr>
                <w:b/>
                <w:lang w:val="en-US"/>
              </w:rPr>
            </w:pPr>
            <w:r>
              <w:rPr>
                <w:b/>
                <w:lang w:val="en-US"/>
              </w:rPr>
              <w:t>25 June</w:t>
            </w:r>
          </w:p>
        </w:tc>
        <w:tc>
          <w:tcPr>
            <w:tcW w:w="4017" w:type="dxa"/>
          </w:tcPr>
          <w:p w14:paraId="1556DB1A" w14:textId="77777777" w:rsidR="00A6032A" w:rsidRDefault="006C4A89">
            <w:pPr>
              <w:spacing w:line="360" w:lineRule="auto"/>
              <w:rPr>
                <w:lang w:val="en-US"/>
              </w:rPr>
            </w:pPr>
            <w:r>
              <w:rPr>
                <w:lang w:val="en-US"/>
              </w:rPr>
              <w:t>Court must heed alert on forests</w:t>
            </w:r>
          </w:p>
        </w:tc>
      </w:tr>
      <w:tr w:rsidR="00A6032A" w14:paraId="1A477070" w14:textId="77777777">
        <w:trPr>
          <w:trHeight w:hRule="exact" w:val="360"/>
        </w:trPr>
        <w:tc>
          <w:tcPr>
            <w:tcW w:w="2840" w:type="dxa"/>
          </w:tcPr>
          <w:p w14:paraId="2BD683D9" w14:textId="77777777" w:rsidR="00A6032A" w:rsidRDefault="006C4A89">
            <w:pPr>
              <w:spacing w:line="360" w:lineRule="auto"/>
              <w:ind w:firstLine="426"/>
              <w:rPr>
                <w:b/>
                <w:lang w:val="en-US"/>
              </w:rPr>
            </w:pPr>
            <w:r>
              <w:rPr>
                <w:b/>
                <w:lang w:val="en-US"/>
              </w:rPr>
              <w:t>Sunday Times</w:t>
            </w:r>
          </w:p>
        </w:tc>
        <w:tc>
          <w:tcPr>
            <w:tcW w:w="1663" w:type="dxa"/>
          </w:tcPr>
          <w:p w14:paraId="5F8CEF27" w14:textId="77777777" w:rsidR="00A6032A" w:rsidRDefault="006C4A89">
            <w:pPr>
              <w:spacing w:line="360" w:lineRule="auto"/>
              <w:rPr>
                <w:b/>
                <w:lang w:val="en-US"/>
              </w:rPr>
            </w:pPr>
            <w:r>
              <w:rPr>
                <w:b/>
                <w:lang w:val="en-US"/>
              </w:rPr>
              <w:t>27 June</w:t>
            </w:r>
          </w:p>
        </w:tc>
        <w:tc>
          <w:tcPr>
            <w:tcW w:w="4017" w:type="dxa"/>
          </w:tcPr>
          <w:p w14:paraId="3CBF8468" w14:textId="77777777" w:rsidR="00A6032A" w:rsidRDefault="006C4A89">
            <w:pPr>
              <w:spacing w:line="360" w:lineRule="auto"/>
              <w:rPr>
                <w:lang w:val="en-US"/>
              </w:rPr>
            </w:pPr>
            <w:r>
              <w:rPr>
                <w:lang w:val="en-US"/>
              </w:rPr>
              <w:t>End the killing of our rare forests</w:t>
            </w:r>
          </w:p>
        </w:tc>
      </w:tr>
      <w:tr w:rsidR="00A6032A" w14:paraId="6681789A" w14:textId="77777777">
        <w:trPr>
          <w:trHeight w:hRule="exact" w:val="360"/>
        </w:trPr>
        <w:tc>
          <w:tcPr>
            <w:tcW w:w="2840" w:type="dxa"/>
          </w:tcPr>
          <w:p w14:paraId="41B12652" w14:textId="77777777" w:rsidR="00A6032A" w:rsidRDefault="006C4A89">
            <w:pPr>
              <w:spacing w:line="360" w:lineRule="auto"/>
              <w:rPr>
                <w:b/>
                <w:lang w:val="en-US"/>
              </w:rPr>
            </w:pPr>
            <w:r>
              <w:rPr>
                <w:b/>
                <w:lang w:val="en-US"/>
              </w:rPr>
              <w:t>The West Australian</w:t>
            </w:r>
          </w:p>
        </w:tc>
        <w:tc>
          <w:tcPr>
            <w:tcW w:w="1663" w:type="dxa"/>
          </w:tcPr>
          <w:p w14:paraId="4417E304" w14:textId="77777777" w:rsidR="00A6032A" w:rsidRDefault="006C4A89">
            <w:pPr>
              <w:spacing w:line="360" w:lineRule="auto"/>
              <w:rPr>
                <w:b/>
                <w:lang w:val="en-US"/>
              </w:rPr>
            </w:pPr>
            <w:r>
              <w:rPr>
                <w:b/>
                <w:lang w:val="en-US"/>
              </w:rPr>
              <w:t>17 July</w:t>
            </w:r>
          </w:p>
        </w:tc>
        <w:tc>
          <w:tcPr>
            <w:tcW w:w="4017" w:type="dxa"/>
          </w:tcPr>
          <w:p w14:paraId="636CF860" w14:textId="77777777" w:rsidR="00A6032A" w:rsidRDefault="006C4A89">
            <w:pPr>
              <w:spacing w:line="360" w:lineRule="auto"/>
              <w:rPr>
                <w:lang w:val="en-US"/>
              </w:rPr>
            </w:pPr>
            <w:r>
              <w:rPr>
                <w:lang w:val="en-US"/>
              </w:rPr>
              <w:t>Court must take over forest issue</w:t>
            </w:r>
          </w:p>
        </w:tc>
      </w:tr>
      <w:tr w:rsidR="00A6032A" w14:paraId="5A5312D9" w14:textId="77777777">
        <w:trPr>
          <w:trHeight w:hRule="exact" w:val="360"/>
        </w:trPr>
        <w:tc>
          <w:tcPr>
            <w:tcW w:w="2840" w:type="dxa"/>
          </w:tcPr>
          <w:p w14:paraId="0FFCA435" w14:textId="77777777" w:rsidR="00A6032A" w:rsidRDefault="006C4A89">
            <w:pPr>
              <w:spacing w:line="360" w:lineRule="auto"/>
              <w:ind w:firstLine="426"/>
              <w:rPr>
                <w:b/>
                <w:lang w:val="en-US"/>
              </w:rPr>
            </w:pPr>
            <w:r>
              <w:rPr>
                <w:b/>
                <w:lang w:val="en-US"/>
              </w:rPr>
              <w:t xml:space="preserve">Sunday </w:t>
            </w:r>
            <w:r>
              <w:rPr>
                <w:b/>
                <w:lang w:val="en-US"/>
              </w:rPr>
              <w:t>Times</w:t>
            </w:r>
          </w:p>
        </w:tc>
        <w:tc>
          <w:tcPr>
            <w:tcW w:w="1663" w:type="dxa"/>
          </w:tcPr>
          <w:p w14:paraId="6A344D2F" w14:textId="77777777" w:rsidR="00A6032A" w:rsidRDefault="006C4A89">
            <w:pPr>
              <w:spacing w:line="360" w:lineRule="auto"/>
              <w:rPr>
                <w:b/>
                <w:lang w:val="en-US"/>
              </w:rPr>
            </w:pPr>
            <w:r>
              <w:rPr>
                <w:b/>
                <w:lang w:val="en-US"/>
              </w:rPr>
              <w:t>18 July</w:t>
            </w:r>
          </w:p>
        </w:tc>
        <w:tc>
          <w:tcPr>
            <w:tcW w:w="4017" w:type="dxa"/>
          </w:tcPr>
          <w:p w14:paraId="7381EC4C" w14:textId="77777777" w:rsidR="00A6032A" w:rsidRDefault="006C4A89">
            <w:pPr>
              <w:spacing w:line="360" w:lineRule="auto"/>
              <w:rPr>
                <w:lang w:val="en-US"/>
              </w:rPr>
            </w:pPr>
            <w:r>
              <w:rPr>
                <w:lang w:val="en-US"/>
              </w:rPr>
              <w:t>Forest fiasco gets worse</w:t>
            </w:r>
          </w:p>
        </w:tc>
      </w:tr>
      <w:tr w:rsidR="00A6032A" w14:paraId="3DE50D14" w14:textId="77777777">
        <w:trPr>
          <w:trHeight w:hRule="exact" w:val="360"/>
        </w:trPr>
        <w:tc>
          <w:tcPr>
            <w:tcW w:w="2840" w:type="dxa"/>
          </w:tcPr>
          <w:p w14:paraId="4006F6C2" w14:textId="77777777" w:rsidR="00A6032A" w:rsidRDefault="006C4A89">
            <w:pPr>
              <w:spacing w:line="360" w:lineRule="auto"/>
              <w:rPr>
                <w:b/>
                <w:lang w:val="en-US"/>
              </w:rPr>
            </w:pPr>
            <w:r>
              <w:rPr>
                <w:b/>
                <w:lang w:val="en-US"/>
              </w:rPr>
              <w:t>The West Australian</w:t>
            </w:r>
          </w:p>
        </w:tc>
        <w:tc>
          <w:tcPr>
            <w:tcW w:w="1663" w:type="dxa"/>
          </w:tcPr>
          <w:p w14:paraId="663547D7" w14:textId="77777777" w:rsidR="00A6032A" w:rsidRDefault="006C4A89">
            <w:pPr>
              <w:spacing w:line="360" w:lineRule="auto"/>
              <w:rPr>
                <w:b/>
                <w:lang w:val="en-US"/>
              </w:rPr>
            </w:pPr>
            <w:r>
              <w:rPr>
                <w:b/>
                <w:lang w:val="en-US"/>
              </w:rPr>
              <w:t>28 July</w:t>
            </w:r>
          </w:p>
        </w:tc>
        <w:tc>
          <w:tcPr>
            <w:tcW w:w="4017" w:type="dxa"/>
          </w:tcPr>
          <w:p w14:paraId="2511FB5E" w14:textId="77777777" w:rsidR="00A6032A" w:rsidRDefault="006C4A89">
            <w:pPr>
              <w:spacing w:line="360" w:lineRule="auto"/>
              <w:rPr>
                <w:lang w:val="en-US"/>
              </w:rPr>
            </w:pPr>
            <w:r>
              <w:rPr>
                <w:lang w:val="en-US"/>
              </w:rPr>
              <w:t>Court stranded on forest policy</w:t>
            </w:r>
          </w:p>
        </w:tc>
      </w:tr>
      <w:tr w:rsidR="00A6032A" w14:paraId="3DD1550F" w14:textId="77777777">
        <w:trPr>
          <w:trHeight w:hRule="exact" w:val="360"/>
        </w:trPr>
        <w:tc>
          <w:tcPr>
            <w:tcW w:w="2840" w:type="dxa"/>
          </w:tcPr>
          <w:p w14:paraId="1733A07E" w14:textId="77777777" w:rsidR="00A6032A" w:rsidRDefault="006C4A89">
            <w:pPr>
              <w:spacing w:line="360" w:lineRule="auto"/>
              <w:rPr>
                <w:b/>
                <w:lang w:val="en-US"/>
              </w:rPr>
            </w:pPr>
            <w:r>
              <w:rPr>
                <w:b/>
                <w:lang w:val="en-US"/>
              </w:rPr>
              <w:t>The West Australian</w:t>
            </w:r>
          </w:p>
        </w:tc>
        <w:tc>
          <w:tcPr>
            <w:tcW w:w="1663" w:type="dxa"/>
          </w:tcPr>
          <w:p w14:paraId="32A0CEA7" w14:textId="77777777" w:rsidR="00A6032A" w:rsidRDefault="006C4A89">
            <w:pPr>
              <w:spacing w:line="360" w:lineRule="auto"/>
              <w:rPr>
                <w:b/>
                <w:lang w:val="en-US"/>
              </w:rPr>
            </w:pPr>
            <w:r>
              <w:rPr>
                <w:b/>
                <w:lang w:val="en-US"/>
              </w:rPr>
              <w:t>29 July</w:t>
            </w:r>
          </w:p>
        </w:tc>
        <w:tc>
          <w:tcPr>
            <w:tcW w:w="4017" w:type="dxa"/>
          </w:tcPr>
          <w:p w14:paraId="5E249E14" w14:textId="77777777" w:rsidR="00A6032A" w:rsidRDefault="006C4A89">
            <w:pPr>
              <w:spacing w:line="360" w:lineRule="auto"/>
              <w:rPr>
                <w:lang w:val="en-US"/>
              </w:rPr>
            </w:pPr>
            <w:r>
              <w:rPr>
                <w:lang w:val="en-US"/>
              </w:rPr>
              <w:t>Salinity the real crisis in the bush</w:t>
            </w:r>
          </w:p>
        </w:tc>
      </w:tr>
      <w:tr w:rsidR="00A6032A" w14:paraId="57832FDB" w14:textId="77777777">
        <w:trPr>
          <w:trHeight w:hRule="exact" w:val="360"/>
        </w:trPr>
        <w:tc>
          <w:tcPr>
            <w:tcW w:w="2840" w:type="dxa"/>
          </w:tcPr>
          <w:p w14:paraId="22B8FA97" w14:textId="77777777" w:rsidR="00A6032A" w:rsidRDefault="006C4A89">
            <w:pPr>
              <w:spacing w:line="360" w:lineRule="auto"/>
              <w:ind w:firstLine="426"/>
              <w:rPr>
                <w:b/>
                <w:lang w:val="en-US"/>
              </w:rPr>
            </w:pPr>
            <w:r>
              <w:rPr>
                <w:b/>
                <w:lang w:val="en-US"/>
              </w:rPr>
              <w:t>Sunday Times</w:t>
            </w:r>
          </w:p>
        </w:tc>
        <w:tc>
          <w:tcPr>
            <w:tcW w:w="1663" w:type="dxa"/>
          </w:tcPr>
          <w:p w14:paraId="2D723A0A" w14:textId="77777777" w:rsidR="00A6032A" w:rsidRDefault="006C4A89">
            <w:pPr>
              <w:spacing w:line="360" w:lineRule="auto"/>
              <w:rPr>
                <w:b/>
                <w:lang w:val="en-US"/>
              </w:rPr>
            </w:pPr>
            <w:r>
              <w:rPr>
                <w:b/>
                <w:lang w:val="en-US"/>
              </w:rPr>
              <w:t>1 August</w:t>
            </w:r>
          </w:p>
        </w:tc>
        <w:tc>
          <w:tcPr>
            <w:tcW w:w="4017" w:type="dxa"/>
          </w:tcPr>
          <w:p w14:paraId="12295A8B" w14:textId="77777777" w:rsidR="00A6032A" w:rsidRDefault="006C4A89">
            <w:pPr>
              <w:spacing w:line="360" w:lineRule="auto"/>
              <w:rPr>
                <w:lang w:val="en-US"/>
              </w:rPr>
            </w:pPr>
            <w:r>
              <w:rPr>
                <w:lang w:val="en-US"/>
              </w:rPr>
              <w:t>Court reaps a bitter harvest</w:t>
            </w:r>
          </w:p>
        </w:tc>
      </w:tr>
      <w:tr w:rsidR="00A6032A" w14:paraId="73983F2A" w14:textId="77777777">
        <w:trPr>
          <w:trHeight w:hRule="exact" w:val="360"/>
        </w:trPr>
        <w:tc>
          <w:tcPr>
            <w:tcW w:w="2840" w:type="dxa"/>
          </w:tcPr>
          <w:p w14:paraId="5ECFC896" w14:textId="77777777" w:rsidR="00A6032A" w:rsidRDefault="006C4A89">
            <w:pPr>
              <w:spacing w:line="360" w:lineRule="auto"/>
              <w:jc w:val="right"/>
              <w:rPr>
                <w:b/>
                <w:lang w:val="en-US"/>
              </w:rPr>
            </w:pPr>
            <w:r>
              <w:rPr>
                <w:b/>
                <w:lang w:val="en-US"/>
              </w:rPr>
              <w:t>The Australian</w:t>
            </w:r>
          </w:p>
        </w:tc>
        <w:tc>
          <w:tcPr>
            <w:tcW w:w="1663" w:type="dxa"/>
          </w:tcPr>
          <w:p w14:paraId="644F0F23" w14:textId="77777777" w:rsidR="00A6032A" w:rsidRDefault="006C4A89">
            <w:pPr>
              <w:spacing w:line="360" w:lineRule="auto"/>
              <w:rPr>
                <w:b/>
                <w:lang w:val="en-US"/>
              </w:rPr>
            </w:pPr>
            <w:r>
              <w:rPr>
                <w:b/>
                <w:lang w:val="en-US"/>
              </w:rPr>
              <w:t>2 August</w:t>
            </w:r>
          </w:p>
        </w:tc>
        <w:tc>
          <w:tcPr>
            <w:tcW w:w="4017" w:type="dxa"/>
          </w:tcPr>
          <w:p w14:paraId="48049A17" w14:textId="77777777" w:rsidR="00A6032A" w:rsidRDefault="006C4A89">
            <w:pPr>
              <w:spacing w:line="360" w:lineRule="auto"/>
              <w:rPr>
                <w:lang w:val="en-US"/>
              </w:rPr>
            </w:pPr>
            <w:r>
              <w:rPr>
                <w:lang w:val="en-US"/>
              </w:rPr>
              <w:t xml:space="preserve">Timber row </w:t>
            </w:r>
            <w:r>
              <w:rPr>
                <w:lang w:val="en-US"/>
              </w:rPr>
              <w:t>erodes Court poll hopes</w:t>
            </w:r>
          </w:p>
        </w:tc>
      </w:tr>
      <w:tr w:rsidR="00A6032A" w14:paraId="14568D5C" w14:textId="77777777">
        <w:trPr>
          <w:trHeight w:hRule="exact" w:val="360"/>
        </w:trPr>
        <w:tc>
          <w:tcPr>
            <w:tcW w:w="2840" w:type="dxa"/>
          </w:tcPr>
          <w:p w14:paraId="32BC3428" w14:textId="77777777" w:rsidR="00A6032A" w:rsidRDefault="006C4A89">
            <w:pPr>
              <w:spacing w:line="360" w:lineRule="auto"/>
              <w:rPr>
                <w:b/>
                <w:lang w:val="en-US"/>
              </w:rPr>
            </w:pPr>
            <w:r>
              <w:rPr>
                <w:b/>
                <w:lang w:val="en-US"/>
              </w:rPr>
              <w:t>The West Australian</w:t>
            </w:r>
          </w:p>
        </w:tc>
        <w:tc>
          <w:tcPr>
            <w:tcW w:w="1663" w:type="dxa"/>
          </w:tcPr>
          <w:p w14:paraId="7929ACC8" w14:textId="77777777" w:rsidR="00A6032A" w:rsidRDefault="006C4A89">
            <w:pPr>
              <w:spacing w:line="360" w:lineRule="auto"/>
              <w:rPr>
                <w:b/>
                <w:lang w:val="en-US"/>
              </w:rPr>
            </w:pPr>
            <w:r>
              <w:rPr>
                <w:b/>
                <w:lang w:val="en-US"/>
              </w:rPr>
              <w:t>5 August</w:t>
            </w:r>
          </w:p>
        </w:tc>
        <w:tc>
          <w:tcPr>
            <w:tcW w:w="4017" w:type="dxa"/>
          </w:tcPr>
          <w:p w14:paraId="4ED67515" w14:textId="77777777" w:rsidR="00A6032A" w:rsidRDefault="006C4A89">
            <w:pPr>
              <w:spacing w:line="360" w:lineRule="auto"/>
              <w:rPr>
                <w:lang w:val="en-US"/>
              </w:rPr>
            </w:pPr>
            <w:r>
              <w:rPr>
                <w:lang w:val="en-US"/>
              </w:rPr>
              <w:t>Timber deals must be questioned</w:t>
            </w:r>
          </w:p>
        </w:tc>
      </w:tr>
      <w:tr w:rsidR="00A6032A" w14:paraId="07B42C23" w14:textId="77777777">
        <w:trPr>
          <w:trHeight w:hRule="exact" w:val="360"/>
        </w:trPr>
        <w:tc>
          <w:tcPr>
            <w:tcW w:w="2840" w:type="dxa"/>
          </w:tcPr>
          <w:p w14:paraId="5779B705" w14:textId="77777777" w:rsidR="00A6032A" w:rsidRDefault="006C4A89">
            <w:pPr>
              <w:spacing w:line="360" w:lineRule="auto"/>
              <w:ind w:firstLine="426"/>
              <w:rPr>
                <w:b/>
                <w:lang w:val="en-US"/>
              </w:rPr>
            </w:pPr>
            <w:r>
              <w:rPr>
                <w:b/>
                <w:lang w:val="en-US"/>
              </w:rPr>
              <w:t>Sunday Times</w:t>
            </w:r>
          </w:p>
        </w:tc>
        <w:tc>
          <w:tcPr>
            <w:tcW w:w="1663" w:type="dxa"/>
          </w:tcPr>
          <w:p w14:paraId="736F2849" w14:textId="77777777" w:rsidR="00A6032A" w:rsidRDefault="006C4A89">
            <w:pPr>
              <w:spacing w:line="360" w:lineRule="auto"/>
              <w:rPr>
                <w:b/>
                <w:lang w:val="en-US"/>
              </w:rPr>
            </w:pPr>
            <w:r>
              <w:rPr>
                <w:b/>
                <w:lang w:val="en-US"/>
              </w:rPr>
              <w:t>8 August</w:t>
            </w:r>
          </w:p>
        </w:tc>
        <w:tc>
          <w:tcPr>
            <w:tcW w:w="4017" w:type="dxa"/>
          </w:tcPr>
          <w:p w14:paraId="0A6960D3" w14:textId="77777777" w:rsidR="00A6032A" w:rsidRDefault="006C4A89">
            <w:pPr>
              <w:spacing w:line="360" w:lineRule="auto"/>
              <w:rPr>
                <w:lang w:val="en-US"/>
              </w:rPr>
            </w:pPr>
            <w:proofErr w:type="gramStart"/>
            <w:r>
              <w:rPr>
                <w:lang w:val="en-US"/>
              </w:rPr>
              <w:t>Forests</w:t>
            </w:r>
            <w:proofErr w:type="gramEnd"/>
            <w:r>
              <w:rPr>
                <w:lang w:val="en-US"/>
              </w:rPr>
              <w:t xml:space="preserve"> row reaches flashpoint</w:t>
            </w:r>
          </w:p>
        </w:tc>
      </w:tr>
      <w:tr w:rsidR="00A6032A" w14:paraId="44F9351F" w14:textId="77777777">
        <w:trPr>
          <w:trHeight w:hRule="exact" w:val="360"/>
        </w:trPr>
        <w:tc>
          <w:tcPr>
            <w:tcW w:w="2840" w:type="dxa"/>
          </w:tcPr>
          <w:p w14:paraId="260DF802" w14:textId="77777777" w:rsidR="00A6032A" w:rsidRDefault="006C4A89">
            <w:pPr>
              <w:spacing w:line="360" w:lineRule="auto"/>
              <w:rPr>
                <w:b/>
                <w:lang w:val="en-US"/>
              </w:rPr>
            </w:pPr>
            <w:r>
              <w:rPr>
                <w:b/>
                <w:lang w:val="en-US"/>
              </w:rPr>
              <w:t>The West Australian</w:t>
            </w:r>
          </w:p>
        </w:tc>
        <w:tc>
          <w:tcPr>
            <w:tcW w:w="1663" w:type="dxa"/>
          </w:tcPr>
          <w:p w14:paraId="00F02E89" w14:textId="77777777" w:rsidR="00A6032A" w:rsidRDefault="006C4A89">
            <w:pPr>
              <w:spacing w:line="360" w:lineRule="auto"/>
              <w:rPr>
                <w:b/>
                <w:lang w:val="en-US"/>
              </w:rPr>
            </w:pPr>
            <w:r>
              <w:rPr>
                <w:b/>
                <w:lang w:val="en-US"/>
              </w:rPr>
              <w:t>24 August</w:t>
            </w:r>
          </w:p>
        </w:tc>
        <w:tc>
          <w:tcPr>
            <w:tcW w:w="4017" w:type="dxa"/>
          </w:tcPr>
          <w:p w14:paraId="1935EE07" w14:textId="77777777" w:rsidR="00A6032A" w:rsidRDefault="006C4A89">
            <w:pPr>
              <w:spacing w:line="360" w:lineRule="auto"/>
              <w:rPr>
                <w:lang w:val="en-US"/>
              </w:rPr>
            </w:pPr>
            <w:r>
              <w:rPr>
                <w:lang w:val="en-US"/>
              </w:rPr>
              <w:t>Many hands primed forest violence</w:t>
            </w:r>
          </w:p>
        </w:tc>
      </w:tr>
      <w:tr w:rsidR="00A6032A" w14:paraId="233A3589" w14:textId="77777777">
        <w:trPr>
          <w:trHeight w:hRule="exact" w:val="360"/>
        </w:trPr>
        <w:tc>
          <w:tcPr>
            <w:tcW w:w="2840" w:type="dxa"/>
          </w:tcPr>
          <w:p w14:paraId="2777BC8B" w14:textId="77777777" w:rsidR="00A6032A" w:rsidRDefault="006C4A89">
            <w:pPr>
              <w:spacing w:line="360" w:lineRule="auto"/>
              <w:rPr>
                <w:b/>
                <w:lang w:val="en-US"/>
              </w:rPr>
            </w:pPr>
            <w:r>
              <w:rPr>
                <w:b/>
                <w:lang w:val="en-US"/>
              </w:rPr>
              <w:t>The West Australian</w:t>
            </w:r>
          </w:p>
        </w:tc>
        <w:tc>
          <w:tcPr>
            <w:tcW w:w="1663" w:type="dxa"/>
          </w:tcPr>
          <w:p w14:paraId="3788ED39" w14:textId="77777777" w:rsidR="00A6032A" w:rsidRDefault="006C4A89">
            <w:pPr>
              <w:spacing w:line="360" w:lineRule="auto"/>
              <w:rPr>
                <w:b/>
                <w:lang w:val="en-US"/>
              </w:rPr>
            </w:pPr>
            <w:r>
              <w:rPr>
                <w:b/>
                <w:lang w:val="en-US"/>
              </w:rPr>
              <w:t>27 November</w:t>
            </w:r>
          </w:p>
        </w:tc>
        <w:tc>
          <w:tcPr>
            <w:tcW w:w="4017" w:type="dxa"/>
          </w:tcPr>
          <w:p w14:paraId="1B017D8C" w14:textId="77777777" w:rsidR="00A6032A" w:rsidRDefault="006C4A89">
            <w:pPr>
              <w:spacing w:line="360" w:lineRule="auto"/>
              <w:rPr>
                <w:lang w:val="en-US"/>
              </w:rPr>
            </w:pPr>
            <w:r>
              <w:rPr>
                <w:lang w:val="en-US"/>
              </w:rPr>
              <w:t xml:space="preserve">Changing </w:t>
            </w:r>
            <w:r>
              <w:rPr>
                <w:lang w:val="en-US"/>
              </w:rPr>
              <w:t>times seal Shea's fate</w:t>
            </w:r>
          </w:p>
        </w:tc>
      </w:tr>
    </w:tbl>
    <w:p w14:paraId="0B247BCD" w14:textId="77777777" w:rsidR="00A6032A" w:rsidRDefault="00A6032A">
      <w:pPr>
        <w:spacing w:line="360" w:lineRule="auto"/>
        <w:rPr>
          <w:b/>
          <w:sz w:val="24"/>
          <w:lang w:val="en-US"/>
        </w:rPr>
      </w:pPr>
    </w:p>
    <w:p w14:paraId="11AE0F56" w14:textId="77777777" w:rsidR="00A6032A" w:rsidRDefault="00A6032A">
      <w:pPr>
        <w:spacing w:line="360" w:lineRule="auto"/>
        <w:ind w:firstLine="720"/>
        <w:jc w:val="both"/>
        <w:rPr>
          <w:sz w:val="22"/>
        </w:rPr>
      </w:pPr>
    </w:p>
    <w:sectPr w:rsidR="00A6032A">
      <w:footerReference w:type="default" r:id="rId7"/>
      <w:endnotePr>
        <w:numFmt w:val="decimal"/>
      </w:endnotePr>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F872" w14:textId="77777777" w:rsidR="006C4A89" w:rsidRDefault="006C4A89">
      <w:r>
        <w:separator/>
      </w:r>
    </w:p>
  </w:endnote>
  <w:endnote w:type="continuationSeparator" w:id="0">
    <w:p w14:paraId="7F5E4E31" w14:textId="77777777" w:rsidR="006C4A89" w:rsidRDefault="006C4A89">
      <w:r>
        <w:continuationSeparator/>
      </w:r>
    </w:p>
  </w:endnote>
  <w:endnote w:id="1">
    <w:p w14:paraId="5A58892E" w14:textId="77777777" w:rsidR="00A6032A" w:rsidRDefault="006C4A89">
      <w:r>
        <w:rPr>
          <w:rStyle w:val="EndnoteReference"/>
        </w:rPr>
        <w:endnoteRef/>
      </w:r>
      <w:r>
        <w:tab/>
        <w:t xml:space="preserve">Ian Marsh, ‘Setting the Agenda in Australian Politics: Towards Regime Change Through Partial Realignment’, </w:t>
      </w:r>
      <w:r>
        <w:rPr>
          <w:i/>
        </w:rPr>
        <w:t>A</w:t>
      </w:r>
      <w:r>
        <w:rPr>
          <w:i/>
        </w:rPr>
        <w:t xml:space="preserve">ustralian Quarterly, </w:t>
      </w:r>
      <w:r>
        <w:t>Winter, 1989, p 230.</w:t>
      </w:r>
    </w:p>
  </w:endnote>
  <w:endnote w:id="2">
    <w:p w14:paraId="11939623" w14:textId="77777777" w:rsidR="00A6032A" w:rsidRDefault="006C4A89">
      <w:pPr>
        <w:pStyle w:val="EndnoteText"/>
      </w:pPr>
      <w:r>
        <w:rPr>
          <w:rStyle w:val="EndnoteReference"/>
        </w:rPr>
        <w:endnoteRef/>
      </w:r>
      <w:r>
        <w:tab/>
        <w:t>Non-profit organisations are allowed to make surpluses, but the key distinction between them and public companies is that no surpluses are allowed to be distributed to their members or staff. See Mark Lyons, Thir</w:t>
      </w:r>
      <w:r>
        <w:t>d Sector, Allen and Unwin, Sydney, 2001, p 5.</w:t>
      </w:r>
    </w:p>
  </w:endnote>
  <w:endnote w:id="3">
    <w:p w14:paraId="65F369D2" w14:textId="77777777" w:rsidR="00A6032A" w:rsidRDefault="006C4A89">
      <w:pPr>
        <w:pStyle w:val="EndnoteText"/>
      </w:pPr>
      <w:r>
        <w:rPr>
          <w:rStyle w:val="EndnoteReference"/>
        </w:rPr>
        <w:endnoteRef/>
      </w:r>
      <w:r>
        <w:tab/>
        <w:t>US and European literature use the term social movement organisation (SMO) in the same sense as I use advocacy organisation.</w:t>
      </w:r>
    </w:p>
  </w:endnote>
  <w:endnote w:id="4">
    <w:p w14:paraId="462F8477" w14:textId="77777777" w:rsidR="00A6032A" w:rsidRDefault="006C4A89">
      <w:r>
        <w:rPr>
          <w:rStyle w:val="EndnoteReference"/>
        </w:rPr>
        <w:endnoteRef/>
      </w:r>
      <w:r>
        <w:t xml:space="preserve"> </w:t>
      </w:r>
      <w:r>
        <w:tab/>
        <w:t>Keith Webb et al.,</w:t>
      </w:r>
      <w:r>
        <w:rPr>
          <w:i/>
        </w:rPr>
        <w:t xml:space="preserve"> </w:t>
      </w:r>
      <w:r>
        <w:t xml:space="preserve">‘Etiology and Outcomes of Protest’, </w:t>
      </w:r>
      <w:r>
        <w:rPr>
          <w:i/>
        </w:rPr>
        <w:t>American Behavioral Scien</w:t>
      </w:r>
      <w:r>
        <w:rPr>
          <w:i/>
        </w:rPr>
        <w:t xml:space="preserve">tist, </w:t>
      </w:r>
      <w:r>
        <w:t>vol</w:t>
      </w:r>
      <w:r>
        <w:rPr>
          <w:i/>
        </w:rPr>
        <w:t xml:space="preserve"> </w:t>
      </w:r>
      <w:r>
        <w:t>26, no 3, 1983, pp 311-31.</w:t>
      </w:r>
    </w:p>
  </w:endnote>
  <w:endnote w:id="5">
    <w:p w14:paraId="27F9A7A4" w14:textId="77777777" w:rsidR="00A6032A" w:rsidRDefault="006C4A89">
      <w:pPr>
        <w:pStyle w:val="EndnoteText"/>
      </w:pPr>
      <w:r>
        <w:rPr>
          <w:rStyle w:val="EndnoteReference"/>
        </w:rPr>
        <w:endnoteRef/>
      </w:r>
      <w:r>
        <w:tab/>
        <w:t>As an example, the Women’s Electoral Lobby (WEL) is a NPO and part of the broader Australian women’s movement.</w:t>
      </w:r>
    </w:p>
  </w:endnote>
  <w:endnote w:id="6">
    <w:p w14:paraId="2FA11353" w14:textId="77777777" w:rsidR="00A6032A" w:rsidRDefault="006C4A89">
      <w:pPr>
        <w:pStyle w:val="EndnoteText"/>
      </w:pPr>
      <w:r>
        <w:rPr>
          <w:rStyle w:val="EndnoteReference"/>
        </w:rPr>
        <w:endnoteRef/>
      </w:r>
      <w:r>
        <w:t xml:space="preserve"> </w:t>
      </w:r>
      <w:r>
        <w:tab/>
        <w:t xml:space="preserve">Mark Considine. ‘Governance at Ground Level: Third Sector Interests and the Problem of ‘Voice’ and </w:t>
      </w:r>
      <w:r>
        <w:t>‘Valence’’, Unpublished paper, Australian &amp; NZ Third Sector Conference, Melbourne, June 1998, 30p</w:t>
      </w:r>
    </w:p>
  </w:endnote>
  <w:endnote w:id="7">
    <w:p w14:paraId="516F1B56" w14:textId="77777777" w:rsidR="00A6032A" w:rsidRDefault="006C4A89">
      <w:pPr>
        <w:pStyle w:val="EndnoteText"/>
      </w:pPr>
      <w:r>
        <w:rPr>
          <w:rStyle w:val="EndnoteReference"/>
        </w:rPr>
        <w:endnoteRef/>
      </w:r>
      <w:r>
        <w:tab/>
        <w:t xml:space="preserve">The debate over the logging and woodchipping of native forests in Australia has been traced by Dargavel to the seminal publication by the Routleys of </w:t>
      </w:r>
      <w:r>
        <w:rPr>
          <w:i/>
        </w:rPr>
        <w:t>The Fi</w:t>
      </w:r>
      <w:r>
        <w:rPr>
          <w:i/>
        </w:rPr>
        <w:t>ght for the Forests</w:t>
      </w:r>
      <w:r>
        <w:t xml:space="preserve">. John Dargavel, </w:t>
      </w:r>
      <w:r>
        <w:rPr>
          <w:i/>
        </w:rPr>
        <w:t>Fashioning Australia’s Forests</w:t>
      </w:r>
      <w:r>
        <w:t xml:space="preserve">, Oxford University Press, Oxford, 1995. Val and Richard Routley, </w:t>
      </w:r>
      <w:r>
        <w:rPr>
          <w:i/>
        </w:rPr>
        <w:t>The Fight for the Forests: The Takeover of Australian Forests for Pines, Woodchips and Intensive Forestry</w:t>
      </w:r>
      <w:r>
        <w:t>, Australian Nation</w:t>
      </w:r>
      <w:r>
        <w:t>al University, Canberra, 1973.</w:t>
      </w:r>
    </w:p>
  </w:endnote>
  <w:endnote w:id="8">
    <w:p w14:paraId="2E789752" w14:textId="77777777" w:rsidR="00A6032A" w:rsidRDefault="006C4A89">
      <w:pPr>
        <w:pStyle w:val="EndnoteText"/>
      </w:pPr>
      <w:r>
        <w:rPr>
          <w:rStyle w:val="EndnoteReference"/>
        </w:rPr>
        <w:endnoteRef/>
      </w:r>
      <w:r>
        <w:tab/>
        <w:t xml:space="preserve">See for examples of particular Australian environmental campaigns: Drew Hutton and Sue Connors, </w:t>
      </w:r>
      <w:r>
        <w:rPr>
          <w:i/>
        </w:rPr>
        <w:t>A History of the Australian Environment Movement</w:t>
      </w:r>
      <w:r>
        <w:t>, Cambridge University Press, Cambridge, 1999.</w:t>
      </w:r>
    </w:p>
  </w:endnote>
  <w:endnote w:id="9">
    <w:p w14:paraId="6351FFE6" w14:textId="77777777" w:rsidR="00A6032A" w:rsidRDefault="006C4A89">
      <w:pPr>
        <w:pStyle w:val="Reference"/>
      </w:pPr>
      <w:r>
        <w:rPr>
          <w:rStyle w:val="EndnoteReference"/>
        </w:rPr>
        <w:endnoteRef/>
      </w:r>
      <w:r>
        <w:t xml:space="preserve"> </w:t>
      </w:r>
      <w:r>
        <w:tab/>
        <w:t>For a description of the rela</w:t>
      </w:r>
      <w:r>
        <w:t xml:space="preserve">tionship between ‘countermovements’ see David Meyer. &amp; Suzanne Staggenborg, ‘Movements, Countermovements, and the Structure of Political Opportunity’, </w:t>
      </w:r>
      <w:r>
        <w:rPr>
          <w:i/>
        </w:rPr>
        <w:t>American Journal of Sociology,</w:t>
      </w:r>
      <w:r>
        <w:t xml:space="preserve"> vol 101, no 6, 1996, pp 1628-60.</w:t>
      </w:r>
    </w:p>
  </w:endnote>
  <w:endnote w:id="10">
    <w:p w14:paraId="5BD315F6" w14:textId="77777777" w:rsidR="00A6032A" w:rsidRDefault="006C4A89">
      <w:pPr>
        <w:pStyle w:val="EndnoteText"/>
      </w:pPr>
      <w:r>
        <w:rPr>
          <w:rStyle w:val="EndnoteReference"/>
        </w:rPr>
        <w:endnoteRef/>
      </w:r>
      <w:r>
        <w:tab/>
        <w:t>The proposed approach is similar to tha</w:t>
      </w:r>
      <w:r>
        <w:t xml:space="preserve">t taken by William Gamson in his study of 53 US advocacy organisations. In his study, the ‘perception’ of success was coded for responses from four different views: historians, the advocacy organisation itself, its antagonist organisation and the advocacy </w:t>
      </w:r>
      <w:r>
        <w:t xml:space="preserve">organisation’s level of satisfaction with its success. William Gamson, </w:t>
      </w:r>
      <w:r>
        <w:rPr>
          <w:i/>
        </w:rPr>
        <w:t>The Strategy of Social Protest</w:t>
      </w:r>
      <w:r>
        <w:t>, 2</w:t>
      </w:r>
      <w:r>
        <w:rPr>
          <w:vertAlign w:val="superscript"/>
        </w:rPr>
        <w:t>nd</w:t>
      </w:r>
      <w:r>
        <w:t xml:space="preserve"> Ed., Wadsworth Publishing Company, Belmont, 1990, p 36. </w:t>
      </w:r>
      <w:r>
        <w:rPr>
          <w:sz w:val="22"/>
        </w:rPr>
        <w:t>The research utilises two main theoretical approaches not explored in this paper — new social</w:t>
      </w:r>
      <w:r>
        <w:rPr>
          <w:sz w:val="22"/>
        </w:rPr>
        <w:t xml:space="preserve"> movement theory (s</w:t>
      </w:r>
      <w:r>
        <w:t>ee for example Ronald Inglehart</w:t>
      </w:r>
      <w:r>
        <w:rPr>
          <w:b/>
        </w:rPr>
        <w:t>,</w:t>
      </w:r>
      <w:r>
        <w:t xml:space="preserve"> </w:t>
      </w:r>
      <w:r>
        <w:rPr>
          <w:i/>
        </w:rPr>
        <w:t>The Silent Revolution: Changing Values and Political Styles Among Western Publics</w:t>
      </w:r>
      <w:r>
        <w:t>, Princeton University Press, Princeton NJ, 1977, or Louis Maheu</w:t>
      </w:r>
      <w:r>
        <w:rPr>
          <w:b/>
        </w:rPr>
        <w:t xml:space="preserve"> </w:t>
      </w:r>
      <w:r>
        <w:t xml:space="preserve">(ed), </w:t>
      </w:r>
      <w:r>
        <w:rPr>
          <w:i/>
        </w:rPr>
        <w:t>Social Movements and Social Classes: The Future of C</w:t>
      </w:r>
      <w:r>
        <w:rPr>
          <w:i/>
        </w:rPr>
        <w:t>ollective Action</w:t>
      </w:r>
      <w:r>
        <w:t xml:space="preserve">, SAGE, London, 1995) </w:t>
      </w:r>
      <w:r>
        <w:rPr>
          <w:sz w:val="22"/>
        </w:rPr>
        <w:t>and resource mobilisation theory</w:t>
      </w:r>
      <w:r>
        <w:t xml:space="preserve"> (see for example John McCarthy and</w:t>
      </w:r>
      <w:r>
        <w:rPr>
          <w:b/>
        </w:rPr>
        <w:t xml:space="preserve"> </w:t>
      </w:r>
      <w:r>
        <w:t xml:space="preserve">Mayer Zald, ‘Resource Mobilization and Social Movements: A Partial Theory’, </w:t>
      </w:r>
      <w:r>
        <w:rPr>
          <w:i/>
        </w:rPr>
        <w:t xml:space="preserve">American Journal of Sociology, </w:t>
      </w:r>
      <w:r>
        <w:t>vol</w:t>
      </w:r>
      <w:r>
        <w:rPr>
          <w:i/>
        </w:rPr>
        <w:t xml:space="preserve"> </w:t>
      </w:r>
      <w:r>
        <w:t>82, no 6, 1976, pp 1212-41, or John McC</w:t>
      </w:r>
      <w:r>
        <w:t>arthy and Mark Wolfson,</w:t>
      </w:r>
      <w:r>
        <w:rPr>
          <w:b/>
        </w:rPr>
        <w:t xml:space="preserve"> </w:t>
      </w:r>
      <w:r>
        <w:t>‘Resource Mobilization by Local Social Movement Organisations: Agency, Strategy &amp; Organisation in the MADD’,</w:t>
      </w:r>
      <w:r>
        <w:rPr>
          <w:b/>
        </w:rPr>
        <w:t xml:space="preserve"> </w:t>
      </w:r>
      <w:r>
        <w:rPr>
          <w:i/>
        </w:rPr>
        <w:t>American Sociological Review,</w:t>
      </w:r>
      <w:r>
        <w:rPr>
          <w:b/>
        </w:rPr>
        <w:t xml:space="preserve"> </w:t>
      </w:r>
      <w:r>
        <w:t>vol</w:t>
      </w:r>
      <w:r>
        <w:rPr>
          <w:b/>
        </w:rPr>
        <w:t xml:space="preserve"> </w:t>
      </w:r>
      <w:r>
        <w:t>61, 1996, pp 1070-1108).</w:t>
      </w:r>
    </w:p>
  </w:endnote>
  <w:endnote w:id="11">
    <w:p w14:paraId="4BFE5E6D" w14:textId="77777777" w:rsidR="00A6032A" w:rsidRDefault="006C4A89">
      <w:pPr>
        <w:pStyle w:val="EndnoteText"/>
      </w:pPr>
      <w:r>
        <w:rPr>
          <w:rStyle w:val="EndnoteReference"/>
        </w:rPr>
        <w:endnoteRef/>
      </w:r>
      <w:r>
        <w:t xml:space="preserve"> </w:t>
      </w:r>
      <w:r>
        <w:tab/>
        <w:t>Paul Schumaker</w:t>
      </w:r>
      <w:r>
        <w:rPr>
          <w:b/>
        </w:rPr>
        <w:t>, ‘</w:t>
      </w:r>
      <w:r>
        <w:t>Policy Responsiveness to Protest Group Deman</w:t>
      </w:r>
      <w:r>
        <w:t xml:space="preserve">ds’, </w:t>
      </w:r>
      <w:r>
        <w:rPr>
          <w:i/>
        </w:rPr>
        <w:t xml:space="preserve">Journal of Politics, </w:t>
      </w:r>
      <w:r>
        <w:t>vol</w:t>
      </w:r>
      <w:r>
        <w:rPr>
          <w:i/>
        </w:rPr>
        <w:t xml:space="preserve"> </w:t>
      </w:r>
      <w:r>
        <w:t>37, 1975, p 494.</w:t>
      </w:r>
    </w:p>
  </w:endnote>
  <w:endnote w:id="12">
    <w:p w14:paraId="78795030" w14:textId="77777777" w:rsidR="00A6032A" w:rsidRDefault="006C4A89">
      <w:pPr>
        <w:pStyle w:val="EndnoteText"/>
      </w:pPr>
      <w:r>
        <w:rPr>
          <w:rStyle w:val="EndnoteReference"/>
        </w:rPr>
        <w:endnoteRef/>
      </w:r>
      <w:r>
        <w:tab/>
      </w:r>
      <w:r>
        <w:rPr>
          <w:i/>
        </w:rPr>
        <w:t>West Australian</w:t>
      </w:r>
      <w:r>
        <w:t>, 23 May 2001, p1.</w:t>
      </w:r>
    </w:p>
  </w:endnote>
  <w:endnote w:id="13">
    <w:p w14:paraId="61064469" w14:textId="77777777" w:rsidR="00A6032A" w:rsidRDefault="006C4A89">
      <w:pPr>
        <w:pStyle w:val="EndnoteText"/>
      </w:pPr>
      <w:r>
        <w:rPr>
          <w:rStyle w:val="EndnoteReference"/>
          <w:lang w:val="en-US"/>
        </w:rPr>
        <w:endnoteRef/>
      </w:r>
      <w:r>
        <w:rPr>
          <w:i/>
        </w:rPr>
        <w:tab/>
        <w:t>Royal Commission on Forestry: First Progress Report</w:t>
      </w:r>
      <w:r>
        <w:t xml:space="preserve">, Government Printer, Perth, 1903; </w:t>
      </w:r>
      <w:r>
        <w:rPr>
          <w:i/>
        </w:rPr>
        <w:t>Royal Commission on Forestry: Final Report</w:t>
      </w:r>
      <w:r>
        <w:t xml:space="preserve">, Government Printer, Perth, 1904; </w:t>
      </w:r>
      <w:r>
        <w:rPr>
          <w:i/>
        </w:rPr>
        <w:t>Report R</w:t>
      </w:r>
      <w:r>
        <w:rPr>
          <w:i/>
        </w:rPr>
        <w:t>oyal Commission on Forestry</w:t>
      </w:r>
      <w:r>
        <w:t xml:space="preserve">, Government Printer, Perth, 1922; </w:t>
      </w:r>
      <w:r>
        <w:rPr>
          <w:b/>
        </w:rPr>
        <w:t>Royal Commission</w:t>
      </w:r>
      <w:r>
        <w:t xml:space="preserve"> </w:t>
      </w:r>
      <w:r>
        <w:rPr>
          <w:i/>
        </w:rPr>
        <w:t xml:space="preserve"> Royal Commission on Timber Industry and Forestry</w:t>
      </w:r>
      <w:r>
        <w:t>, Government Printer, Perth, 1955.</w:t>
      </w:r>
    </w:p>
  </w:endnote>
  <w:endnote w:id="14">
    <w:p w14:paraId="487B5D77" w14:textId="77777777" w:rsidR="00A6032A" w:rsidRDefault="006C4A89">
      <w:pPr>
        <w:pStyle w:val="EndnoteText"/>
      </w:pPr>
      <w:r>
        <w:rPr>
          <w:rStyle w:val="EndnoteReference"/>
        </w:rPr>
        <w:endnoteRef/>
      </w:r>
      <w:r>
        <w:tab/>
        <w:t>The names of the interviewees have been removed for this article although they will be incl</w:t>
      </w:r>
      <w:r>
        <w:t>uded in the final thesis.</w:t>
      </w:r>
    </w:p>
  </w:endnote>
  <w:endnote w:id="15">
    <w:p w14:paraId="3FBD7898" w14:textId="77777777" w:rsidR="00A6032A" w:rsidRDefault="006C4A89">
      <w:r>
        <w:rPr>
          <w:rStyle w:val="EndnoteReference"/>
          <w:lang w:val="en-US"/>
        </w:rPr>
        <w:endnoteRef/>
      </w:r>
      <w:r>
        <w:tab/>
        <w:t>David Meyer and Suzanne Staggenborg, op. cit., pp 1628-60.</w:t>
      </w:r>
    </w:p>
  </w:endnote>
  <w:endnote w:id="16">
    <w:p w14:paraId="62C83B4E" w14:textId="77777777" w:rsidR="00A6032A" w:rsidRDefault="006C4A89">
      <w:r>
        <w:rPr>
          <w:rStyle w:val="EndnoteReference"/>
        </w:rPr>
        <w:endnoteRef/>
      </w:r>
      <w:r>
        <w:tab/>
        <w:t xml:space="preserve">Rudolf Heberle, </w:t>
      </w:r>
      <w:r>
        <w:rPr>
          <w:i/>
        </w:rPr>
        <w:t>Social Movements: An Introduction to Political Sociology</w:t>
      </w:r>
      <w:r>
        <w:t>, Appleton-Century-Crofts Inc, New York, 1951, p 6.</w:t>
      </w:r>
    </w:p>
  </w:endnote>
  <w:endnote w:id="17">
    <w:p w14:paraId="3698023E" w14:textId="77777777" w:rsidR="00A6032A" w:rsidRDefault="006C4A89">
      <w:pPr>
        <w:pStyle w:val="EndnoteText"/>
      </w:pPr>
      <w:r>
        <w:rPr>
          <w:rStyle w:val="EndnoteReference"/>
        </w:rPr>
        <w:endnoteRef/>
      </w:r>
      <w:r>
        <w:tab/>
      </w:r>
      <w:r>
        <w:t xml:space="preserve">The classic sociological study on this topic is: C Wright Mills, </w:t>
      </w:r>
      <w:r>
        <w:rPr>
          <w:i/>
        </w:rPr>
        <w:t>The Power Elite</w:t>
      </w:r>
      <w:r>
        <w:t xml:space="preserve">, Oxford University Press, New York, 1956, while in an Australian context Higley </w:t>
      </w:r>
      <w:r>
        <w:rPr>
          <w:i/>
        </w:rPr>
        <w:t>et al</w:t>
      </w:r>
      <w:r>
        <w:t xml:space="preserve"> identified media owners, financial institutions and trade unions as important strategic c</w:t>
      </w:r>
      <w:r>
        <w:t>onstituencies or ‘elite’. John Higley et al.</w:t>
      </w:r>
      <w:r>
        <w:rPr>
          <w:i/>
        </w:rPr>
        <w:t xml:space="preserve"> </w:t>
      </w:r>
      <w:r>
        <w:t xml:space="preserve">(eds), </w:t>
      </w:r>
      <w:r>
        <w:rPr>
          <w:i/>
        </w:rPr>
        <w:t>Elites in Australia</w:t>
      </w:r>
      <w:r>
        <w:t>, Routledge and Keagan Paul, London, 1979, p 224.</w:t>
      </w:r>
    </w:p>
  </w:endnote>
  <w:endnote w:id="18">
    <w:p w14:paraId="009AD560" w14:textId="77777777" w:rsidR="00A6032A" w:rsidRDefault="006C4A89">
      <w:pPr>
        <w:pStyle w:val="EndnoteText"/>
      </w:pPr>
      <w:r>
        <w:rPr>
          <w:rStyle w:val="EndnoteReference"/>
        </w:rPr>
        <w:endnoteRef/>
      </w:r>
      <w:r>
        <w:tab/>
        <w:t xml:space="preserve">Craig J. Jenkins, ‘Non-profit Organisations and Policy Advocacy’, in Walter Powell (ed), </w:t>
      </w:r>
      <w:r>
        <w:rPr>
          <w:i/>
        </w:rPr>
        <w:t>The Non-profit Sector</w:t>
      </w:r>
      <w:r>
        <w:t>, Yale University Press</w:t>
      </w:r>
      <w:r>
        <w:t>, New Haven, 1987, p 297.</w:t>
      </w:r>
    </w:p>
  </w:endnote>
  <w:endnote w:id="19">
    <w:p w14:paraId="4EF876FA" w14:textId="77777777" w:rsidR="00A6032A" w:rsidRDefault="006C4A89">
      <w:pPr>
        <w:pStyle w:val="EndnoteText"/>
      </w:pPr>
      <w:r>
        <w:rPr>
          <w:rStyle w:val="EndnoteReference"/>
        </w:rPr>
        <w:endnoteRef/>
      </w:r>
      <w:r>
        <w:tab/>
        <w:t>Mark Lyons,</w:t>
      </w:r>
      <w:r>
        <w:rPr>
          <w:b/>
        </w:rPr>
        <w:t xml:space="preserve"> </w:t>
      </w:r>
      <w:r>
        <w:rPr>
          <w:i/>
        </w:rPr>
        <w:t>Data Sources for Research on Private Not for Profit Organisations in Australia,</w:t>
      </w:r>
      <w:r>
        <w:rPr>
          <w:b/>
        </w:rPr>
        <w:t xml:space="preserve"> </w:t>
      </w:r>
      <w:r>
        <w:t>CACOM- University of Technology, Sydney, 1992, p 79.</w:t>
      </w:r>
    </w:p>
  </w:endnote>
  <w:endnote w:id="20">
    <w:p w14:paraId="2CF92A04" w14:textId="77777777" w:rsidR="00A6032A" w:rsidRDefault="006C4A89">
      <w:pPr>
        <w:pStyle w:val="EndnoteText"/>
      </w:pPr>
      <w:r>
        <w:rPr>
          <w:rStyle w:val="EndnoteReference"/>
        </w:rPr>
        <w:endnoteRef/>
      </w:r>
      <w:r>
        <w:tab/>
        <w:t>Mark Lyons and Sue Hocking,</w:t>
      </w:r>
      <w:r>
        <w:rPr>
          <w:b/>
        </w:rPr>
        <w:t xml:space="preserve"> </w:t>
      </w:r>
      <w:r>
        <w:rPr>
          <w:i/>
        </w:rPr>
        <w:t xml:space="preserve">Australia’s Non-profit Sector: Some </w:t>
      </w:r>
      <w:r>
        <w:rPr>
          <w:i/>
        </w:rPr>
        <w:t>Preliminary Data,</w:t>
      </w:r>
      <w:r>
        <w:t xml:space="preserve"> CACOM- University of Technology, Sydney, 1998, p 1.</w:t>
      </w:r>
    </w:p>
  </w:endnote>
  <w:endnote w:id="21">
    <w:p w14:paraId="6DCDAE8C" w14:textId="77777777" w:rsidR="00A6032A" w:rsidRDefault="006C4A89">
      <w:pPr>
        <w:pStyle w:val="EndnoteText"/>
      </w:pPr>
      <w:r>
        <w:rPr>
          <w:rStyle w:val="EndnoteReference"/>
        </w:rPr>
        <w:endnoteRef/>
      </w:r>
      <w:r>
        <w:tab/>
        <w:t>Lyons, 2001, op. cit., p 81.</w:t>
      </w:r>
    </w:p>
  </w:endnote>
  <w:endnote w:id="22">
    <w:p w14:paraId="06AE1B90" w14:textId="77777777" w:rsidR="00A6032A" w:rsidRDefault="006C4A89">
      <w:pPr>
        <w:pStyle w:val="EndnoteText"/>
      </w:pPr>
      <w:r>
        <w:rPr>
          <w:rStyle w:val="EndnoteReference"/>
        </w:rPr>
        <w:endnoteRef/>
      </w:r>
      <w:r>
        <w:tab/>
        <w:t>Lyons and Hocking, op. cit., p 4.</w:t>
      </w:r>
    </w:p>
  </w:endnote>
  <w:endnote w:id="23">
    <w:p w14:paraId="60640999" w14:textId="77777777" w:rsidR="00A6032A" w:rsidRDefault="006C4A89">
      <w:pPr>
        <w:pStyle w:val="EndnoteText"/>
      </w:pPr>
      <w:r>
        <w:rPr>
          <w:rStyle w:val="EndnoteReference"/>
        </w:rPr>
        <w:endnoteRef/>
      </w:r>
      <w:r>
        <w:tab/>
        <w:t xml:space="preserve">Jo Freeman, </w:t>
      </w:r>
      <w:r>
        <w:rPr>
          <w:i/>
        </w:rPr>
        <w:t>The Politics of Women’s Liberation</w:t>
      </w:r>
      <w:r>
        <w:t>, Longman, New York, 1978, p 4.</w:t>
      </w:r>
    </w:p>
  </w:endnote>
  <w:endnote w:id="24">
    <w:p w14:paraId="78D12BD0" w14:textId="77777777" w:rsidR="00A6032A" w:rsidRDefault="006C4A89">
      <w:r>
        <w:rPr>
          <w:rStyle w:val="EndnoteReference"/>
        </w:rPr>
        <w:endnoteRef/>
      </w:r>
      <w:r>
        <w:tab/>
        <w:t>Paul Goodman and Johannes Pennings (e</w:t>
      </w:r>
      <w:r>
        <w:t>ds),</w:t>
      </w:r>
      <w:r>
        <w:rPr>
          <w:b/>
        </w:rPr>
        <w:t xml:space="preserve"> </w:t>
      </w:r>
      <w:r>
        <w:rPr>
          <w:i/>
        </w:rPr>
        <w:t>New Perspectives on Organisational Effectiveness</w:t>
      </w:r>
      <w:r>
        <w:t>, Jossey-Bass, San Francisco, 1981, p 106.</w:t>
      </w:r>
    </w:p>
  </w:endnote>
  <w:endnote w:id="25">
    <w:p w14:paraId="0B8AC6B9" w14:textId="77777777" w:rsidR="00A6032A" w:rsidRDefault="006C4A89">
      <w:pPr>
        <w:pStyle w:val="EndnoteText"/>
      </w:pPr>
      <w:r>
        <w:rPr>
          <w:rStyle w:val="EndnoteReference"/>
        </w:rPr>
        <w:endnoteRef/>
      </w:r>
      <w:r>
        <w:tab/>
        <w:t xml:space="preserve">Kent Chabotar, ‘Financial Ratio Analysis Comes to Non-profits’, </w:t>
      </w:r>
      <w:r>
        <w:rPr>
          <w:i/>
        </w:rPr>
        <w:t xml:space="preserve">Journal of Higher Education, </w:t>
      </w:r>
      <w:r>
        <w:t>vol</w:t>
      </w:r>
      <w:r>
        <w:rPr>
          <w:i/>
        </w:rPr>
        <w:t xml:space="preserve"> </w:t>
      </w:r>
      <w:r>
        <w:t>60, no 2, 1989, p 189.</w:t>
      </w:r>
    </w:p>
  </w:endnote>
  <w:endnote w:id="26">
    <w:p w14:paraId="65F659EE" w14:textId="77777777" w:rsidR="00A6032A" w:rsidRDefault="006C4A89">
      <w:pPr>
        <w:pStyle w:val="EndnoteText"/>
      </w:pPr>
      <w:r>
        <w:rPr>
          <w:rStyle w:val="EndnoteReference"/>
        </w:rPr>
        <w:endnoteRef/>
      </w:r>
      <w:r>
        <w:tab/>
        <w:t>Gamson, op. cit., p 248.</w:t>
      </w:r>
    </w:p>
  </w:endnote>
  <w:endnote w:id="27">
    <w:p w14:paraId="36E4FE8A" w14:textId="77777777" w:rsidR="00A6032A" w:rsidRDefault="006C4A89">
      <w:pPr>
        <w:pStyle w:val="EndnoteText"/>
      </w:pPr>
      <w:r>
        <w:rPr>
          <w:rStyle w:val="EndnoteReference"/>
        </w:rPr>
        <w:endnoteRef/>
      </w:r>
      <w:r>
        <w:tab/>
        <w:t>Robert Th</w:t>
      </w:r>
      <w:r>
        <w:t xml:space="preserve">orndike, </w:t>
      </w:r>
      <w:r>
        <w:rPr>
          <w:i/>
        </w:rPr>
        <w:t>Personnel Selection: Test and Measurement Techniques</w:t>
      </w:r>
      <w:r>
        <w:t>, Wiley, New York, 1949.</w:t>
      </w:r>
    </w:p>
  </w:endnote>
  <w:endnote w:id="28">
    <w:p w14:paraId="0A05D060" w14:textId="77777777" w:rsidR="00A6032A" w:rsidRDefault="006C4A89">
      <w:pPr>
        <w:pStyle w:val="EndnoteText"/>
      </w:pPr>
      <w:r>
        <w:rPr>
          <w:rStyle w:val="EndnoteReference"/>
        </w:rPr>
        <w:endnoteRef/>
      </w:r>
      <w:r>
        <w:tab/>
        <w:t xml:space="preserve">Chester Barnard, </w:t>
      </w:r>
      <w:r>
        <w:rPr>
          <w:i/>
        </w:rPr>
        <w:t>The Functions of the Executive</w:t>
      </w:r>
      <w:r>
        <w:t>, Harvard University Press, Cambridge MA, 1938.</w:t>
      </w:r>
    </w:p>
  </w:endnote>
  <w:endnote w:id="29">
    <w:p w14:paraId="1C1796FE" w14:textId="77777777" w:rsidR="00A6032A" w:rsidRDefault="006C4A89">
      <w:pPr>
        <w:pStyle w:val="EndnoteText"/>
      </w:pPr>
      <w:r>
        <w:rPr>
          <w:rStyle w:val="EndnoteReference"/>
        </w:rPr>
        <w:endnoteRef/>
      </w:r>
      <w:r>
        <w:tab/>
        <w:t xml:space="preserve">John Campbell, ‘On the Nature of Organisational Effectiveness’, in </w:t>
      </w:r>
      <w:r>
        <w:rPr>
          <w:i/>
        </w:rPr>
        <w:t xml:space="preserve">New </w:t>
      </w:r>
      <w:r>
        <w:rPr>
          <w:i/>
        </w:rPr>
        <w:t>Perspectives on</w:t>
      </w:r>
      <w:r>
        <w:t xml:space="preserve"> </w:t>
      </w:r>
      <w:r>
        <w:rPr>
          <w:i/>
        </w:rPr>
        <w:t xml:space="preserve">Organisational Effectiveness, </w:t>
      </w:r>
      <w:r>
        <w:t>Goodman and Pennings (eds), Jossey-Bass, San Francisco, 1977, p 49.</w:t>
      </w:r>
    </w:p>
  </w:endnote>
  <w:endnote w:id="30">
    <w:p w14:paraId="500856E1" w14:textId="77777777" w:rsidR="00A6032A" w:rsidRDefault="006C4A89">
      <w:r>
        <w:rPr>
          <w:rStyle w:val="EndnoteReference"/>
        </w:rPr>
        <w:endnoteRef/>
      </w:r>
      <w:r>
        <w:tab/>
        <w:t xml:space="preserve">James Price, </w:t>
      </w:r>
      <w:r>
        <w:rPr>
          <w:i/>
        </w:rPr>
        <w:t>Organisational Effectiveness: An Inventory of Propositions</w:t>
      </w:r>
      <w:r>
        <w:t>, Richard Irwin Inc, Illinois, 1968, p 3.</w:t>
      </w:r>
    </w:p>
  </w:endnote>
  <w:endnote w:id="31">
    <w:p w14:paraId="6AF9CFF3" w14:textId="77777777" w:rsidR="00A6032A" w:rsidRDefault="006C4A89">
      <w:r>
        <w:rPr>
          <w:rStyle w:val="EndnoteReference"/>
          <w:lang w:val="en-US"/>
        </w:rPr>
        <w:endnoteRef/>
      </w:r>
      <w:r>
        <w:tab/>
        <w:t>Stephen Robbins</w:t>
      </w:r>
      <w:r>
        <w:rPr>
          <w:b/>
        </w:rPr>
        <w:t xml:space="preserve">, </w:t>
      </w:r>
      <w:r>
        <w:rPr>
          <w:i/>
        </w:rPr>
        <w:t>Organisa</w:t>
      </w:r>
      <w:r>
        <w:rPr>
          <w:i/>
        </w:rPr>
        <w:t>tion Theory: Structure, Design and Applications</w:t>
      </w:r>
      <w:r>
        <w:t>, 3rd ed, Prentice Hall, New Jersey, 1990, p 49.</w:t>
      </w:r>
    </w:p>
  </w:endnote>
  <w:endnote w:id="32">
    <w:p w14:paraId="0CAB91CB" w14:textId="77777777" w:rsidR="00A6032A" w:rsidRDefault="006C4A89">
      <w:pPr>
        <w:pStyle w:val="EndnoteText"/>
      </w:pPr>
      <w:r>
        <w:rPr>
          <w:rStyle w:val="EndnoteReference"/>
        </w:rPr>
        <w:endnoteRef/>
      </w:r>
      <w:r>
        <w:tab/>
        <w:t>Michael Hannan and John Freeman</w:t>
      </w:r>
      <w:r>
        <w:rPr>
          <w:b/>
        </w:rPr>
        <w:t>,</w:t>
      </w:r>
      <w:r>
        <w:t xml:space="preserve"> ‘The Population Ecology of Organisations’, </w:t>
      </w:r>
      <w:r>
        <w:rPr>
          <w:i/>
        </w:rPr>
        <w:t>American Journal of Sociology</w:t>
      </w:r>
      <w:r>
        <w:t>, vol 82, 1977, p 959.</w:t>
      </w:r>
    </w:p>
  </w:endnote>
  <w:endnote w:id="33">
    <w:p w14:paraId="2D04DD9B" w14:textId="77777777" w:rsidR="00A6032A" w:rsidRDefault="006C4A89">
      <w:pPr>
        <w:pStyle w:val="EndnoteText"/>
      </w:pPr>
      <w:r>
        <w:rPr>
          <w:rStyle w:val="EndnoteReference"/>
        </w:rPr>
        <w:endnoteRef/>
      </w:r>
      <w:r>
        <w:tab/>
        <w:t>Karl Weick</w:t>
      </w:r>
      <w:r>
        <w:rPr>
          <w:b/>
        </w:rPr>
        <w:t>, ‘</w:t>
      </w:r>
      <w:r>
        <w:t>Re-punctuating the Problem</w:t>
      </w:r>
      <w:r>
        <w:rPr>
          <w:b/>
        </w:rPr>
        <w:t xml:space="preserve">’, </w:t>
      </w:r>
      <w:r>
        <w:t>in</w:t>
      </w:r>
      <w:r>
        <w:rPr>
          <w:b/>
        </w:rPr>
        <w:t xml:space="preserve"> </w:t>
      </w:r>
      <w:r>
        <w:t xml:space="preserve">Goodman and Pennings (eds), </w:t>
      </w:r>
      <w:r>
        <w:rPr>
          <w:i/>
        </w:rPr>
        <w:t>New Perspectives on Organisational Effectiveness</w:t>
      </w:r>
      <w:r>
        <w:t>, Jossey-Bass, San Francisco, 1981, p 194.</w:t>
      </w:r>
    </w:p>
  </w:endnote>
  <w:endnote w:id="34">
    <w:p w14:paraId="2EB65A60" w14:textId="77777777" w:rsidR="00A6032A" w:rsidRDefault="006C4A89">
      <w:pPr>
        <w:pStyle w:val="EndnoteText"/>
      </w:pPr>
      <w:r>
        <w:rPr>
          <w:rStyle w:val="EndnoteReference"/>
        </w:rPr>
        <w:endnoteRef/>
      </w:r>
      <w:r>
        <w:t xml:space="preserve">  David Anderson, ‘NRMA Clean Air 200 — Dream or Reality?’, University of New South Wales website, acces</w:t>
      </w:r>
      <w:r>
        <w:t>sed 6-9-03.</w:t>
      </w:r>
    </w:p>
    <w:p w14:paraId="24B5F143" w14:textId="77777777" w:rsidR="00A6032A" w:rsidRDefault="006C4A89">
      <w:pPr>
        <w:pStyle w:val="EndnoteText"/>
      </w:pPr>
      <w:r>
        <w:rPr>
          <w:b/>
        </w:rPr>
        <w:t>http://www.civeng.unsw.edu.au/IEAustTP/1998/Apr98_Flyer.html</w:t>
      </w:r>
    </w:p>
  </w:endnote>
  <w:endnote w:id="35">
    <w:p w14:paraId="72F56FC1" w14:textId="77777777" w:rsidR="00A6032A" w:rsidRDefault="006C4A89">
      <w:pPr>
        <w:pStyle w:val="EndnoteText"/>
      </w:pPr>
      <w:r>
        <w:rPr>
          <w:rStyle w:val="EndnoteReference"/>
        </w:rPr>
        <w:endnoteRef/>
      </w:r>
      <w:r>
        <w:tab/>
        <w:t>Gamson’s study followed his 53 organisations over the incredible time period of 1800-1945.</w:t>
      </w:r>
    </w:p>
    <w:p w14:paraId="4CCD25D7" w14:textId="77777777" w:rsidR="00A6032A" w:rsidRDefault="006C4A89">
      <w:pPr>
        <w:pStyle w:val="EndnoteText"/>
      </w:pPr>
      <w:r>
        <w:t>Gamson, op. cit., p v.</w:t>
      </w:r>
    </w:p>
  </w:endnote>
  <w:endnote w:id="36">
    <w:p w14:paraId="75318424" w14:textId="77777777" w:rsidR="00A6032A" w:rsidRDefault="006C4A89">
      <w:r>
        <w:rPr>
          <w:rStyle w:val="EndnoteReference"/>
        </w:rPr>
        <w:endnoteRef/>
      </w:r>
      <w:r>
        <w:tab/>
        <w:t>Ronald Webb,</w:t>
      </w:r>
      <w:r>
        <w:rPr>
          <w:i/>
        </w:rPr>
        <w:t xml:space="preserve"> </w:t>
      </w:r>
      <w:r>
        <w:t>‘Organisational Effectiveness and the Voluntary Orga</w:t>
      </w:r>
      <w:r>
        <w:t xml:space="preserve">nisation’, </w:t>
      </w:r>
      <w:r>
        <w:rPr>
          <w:i/>
        </w:rPr>
        <w:t xml:space="preserve">Academy of Management Journal, </w:t>
      </w:r>
      <w:r>
        <w:t>vol</w:t>
      </w:r>
      <w:r>
        <w:rPr>
          <w:i/>
        </w:rPr>
        <w:t xml:space="preserve"> </w:t>
      </w:r>
      <w:r>
        <w:t>17, no 4, 1974, p 665.</w:t>
      </w:r>
    </w:p>
  </w:endnote>
  <w:endnote w:id="37">
    <w:p w14:paraId="07A74D85" w14:textId="77777777" w:rsidR="00A6032A" w:rsidRDefault="006C4A89">
      <w:pPr>
        <w:pStyle w:val="EndnoteText"/>
      </w:pPr>
      <w:r>
        <w:rPr>
          <w:rStyle w:val="EndnoteReference"/>
        </w:rPr>
        <w:endnoteRef/>
      </w:r>
      <w:r>
        <w:tab/>
        <w:t>B Geogopoulos and Arnold Tannenbaum, ‘The Study of Organisational Effectiveness’,</w:t>
      </w:r>
      <w:r>
        <w:rPr>
          <w:i/>
        </w:rPr>
        <w:t xml:space="preserve"> American Sociological Review</w:t>
      </w:r>
      <w:r>
        <w:t>, vol 22, 1957, p 535.</w:t>
      </w:r>
    </w:p>
  </w:endnote>
  <w:endnote w:id="38">
    <w:p w14:paraId="3855A548" w14:textId="77777777" w:rsidR="00A6032A" w:rsidRDefault="006C4A89">
      <w:pPr>
        <w:pStyle w:val="EndnoteText"/>
      </w:pPr>
      <w:r>
        <w:rPr>
          <w:rStyle w:val="EndnoteReference"/>
        </w:rPr>
        <w:endnoteRef/>
      </w:r>
      <w:r>
        <w:tab/>
        <w:t>Amitai Etzioni,</w:t>
      </w:r>
      <w:r>
        <w:rPr>
          <w:b/>
        </w:rPr>
        <w:t xml:space="preserve"> ‘</w:t>
      </w:r>
      <w:r>
        <w:t xml:space="preserve">Two Approaches to Organisational </w:t>
      </w:r>
      <w:r>
        <w:t>Analysis: A Critique and a Suggestion’,</w:t>
      </w:r>
      <w:r>
        <w:rPr>
          <w:b/>
        </w:rPr>
        <w:t xml:space="preserve"> </w:t>
      </w:r>
      <w:r>
        <w:rPr>
          <w:i/>
        </w:rPr>
        <w:t>Administrative Science Quarterly</w:t>
      </w:r>
      <w:r>
        <w:t>, vol 5, 1960, pp 257-78.</w:t>
      </w:r>
    </w:p>
  </w:endnote>
  <w:endnote w:id="39">
    <w:p w14:paraId="48B29D50" w14:textId="77777777" w:rsidR="00A6032A" w:rsidRDefault="006C4A89">
      <w:r>
        <w:rPr>
          <w:rStyle w:val="EndnoteReference"/>
        </w:rPr>
        <w:endnoteRef/>
      </w:r>
      <w:r>
        <w:tab/>
        <w:t xml:space="preserve">John McCarthy and Mayer Zald, ‘Resource Mobilization and Social Movements: A Partial Theory’, </w:t>
      </w:r>
      <w:r>
        <w:rPr>
          <w:i/>
        </w:rPr>
        <w:t xml:space="preserve">American Journal of Sociology, </w:t>
      </w:r>
      <w:r>
        <w:t>vol</w:t>
      </w:r>
      <w:r>
        <w:rPr>
          <w:i/>
        </w:rPr>
        <w:t xml:space="preserve"> </w:t>
      </w:r>
      <w:r>
        <w:t>82, no 6, 1976, pp 1212-41.</w:t>
      </w:r>
    </w:p>
  </w:endnote>
  <w:endnote w:id="40">
    <w:p w14:paraId="0749DDF5" w14:textId="77777777" w:rsidR="00A6032A" w:rsidRDefault="006C4A89">
      <w:pPr>
        <w:pStyle w:val="EndnoteText"/>
      </w:pPr>
      <w:r>
        <w:rPr>
          <w:rStyle w:val="EndnoteReference"/>
        </w:rPr>
        <w:endnoteRef/>
      </w:r>
      <w:r>
        <w:tab/>
        <w:t>Goodman and Pennings, op. cit., p 163.</w:t>
      </w:r>
    </w:p>
  </w:endnote>
  <w:endnote w:id="41">
    <w:p w14:paraId="37D4B5F4" w14:textId="77777777" w:rsidR="00A6032A" w:rsidRDefault="006C4A89">
      <w:pPr>
        <w:pStyle w:val="EndnoteText"/>
      </w:pPr>
      <w:r>
        <w:rPr>
          <w:rStyle w:val="EndnoteReference"/>
        </w:rPr>
        <w:endnoteRef/>
      </w:r>
      <w:r>
        <w:tab/>
        <w:t>Terry Connolly</w:t>
      </w:r>
      <w:r>
        <w:rPr>
          <w:i/>
        </w:rPr>
        <w:t xml:space="preserve"> et al.,</w:t>
      </w:r>
      <w:r>
        <w:t xml:space="preserve"> ‘Organisational Effectiveness: A Multi-Constituency Approach’, </w:t>
      </w:r>
      <w:r>
        <w:rPr>
          <w:i/>
        </w:rPr>
        <w:t>Academy of Management Review</w:t>
      </w:r>
      <w:r>
        <w:t>, vol 5, no 2, 1980, p 212.</w:t>
      </w:r>
    </w:p>
  </w:endnote>
  <w:endnote w:id="42">
    <w:p w14:paraId="76552316" w14:textId="77777777" w:rsidR="00A6032A" w:rsidRDefault="006C4A89">
      <w:pPr>
        <w:pStyle w:val="EndnoteText"/>
      </w:pPr>
      <w:r>
        <w:rPr>
          <w:rStyle w:val="EndnoteReference"/>
        </w:rPr>
        <w:endnoteRef/>
      </w:r>
      <w:r>
        <w:tab/>
        <w:t>ibid., p 214.</w:t>
      </w:r>
    </w:p>
  </w:endnote>
  <w:endnote w:id="43">
    <w:p w14:paraId="3B2FEDD7" w14:textId="77777777" w:rsidR="00A6032A" w:rsidRDefault="006C4A89">
      <w:pPr>
        <w:pStyle w:val="EndnoteText"/>
      </w:pPr>
      <w:r>
        <w:rPr>
          <w:rStyle w:val="EndnoteReference"/>
        </w:rPr>
        <w:endnoteRef/>
      </w:r>
      <w:r>
        <w:tab/>
        <w:t>Robbins, op. cit., p 62.</w:t>
      </w:r>
    </w:p>
  </w:endnote>
  <w:endnote w:id="44">
    <w:p w14:paraId="38C42BD8" w14:textId="77777777" w:rsidR="00A6032A" w:rsidRDefault="006C4A89">
      <w:r>
        <w:rPr>
          <w:rStyle w:val="EndnoteReference"/>
        </w:rPr>
        <w:endnoteRef/>
      </w:r>
      <w:r>
        <w:tab/>
        <w:t>Raymond Zammuto, ‘A Compa</w:t>
      </w:r>
      <w:r>
        <w:t xml:space="preserve">rison of Multiple Constituency Models of Organizational Effectiveness’, </w:t>
      </w:r>
      <w:r>
        <w:rPr>
          <w:i/>
        </w:rPr>
        <w:t>Academy of Management Review,</w:t>
      </w:r>
      <w:r>
        <w:t xml:space="preserve"> vol 9, no 4, 1984, p 613.</w:t>
      </w:r>
    </w:p>
  </w:endnote>
  <w:endnote w:id="45">
    <w:p w14:paraId="58D2D608" w14:textId="77777777" w:rsidR="00A6032A" w:rsidRDefault="006C4A89">
      <w:r>
        <w:rPr>
          <w:rStyle w:val="EndnoteReference"/>
        </w:rPr>
        <w:endnoteRef/>
      </w:r>
      <w:r>
        <w:tab/>
        <w:t xml:space="preserve">David Marsh says that the use of policy networks as a means of conceptualising the relationship between state and society ‘is </w:t>
      </w:r>
      <w:r>
        <w:t xml:space="preserve">now pervasive in the European and North American political science literature’. David Marsh (ed), </w:t>
      </w:r>
      <w:r>
        <w:rPr>
          <w:i/>
        </w:rPr>
        <w:t>Comparing Policy Networks,</w:t>
      </w:r>
      <w:r>
        <w:t xml:space="preserve"> Open University Press, Buckingham, 1998, p 21.</w:t>
      </w:r>
    </w:p>
  </w:endnote>
  <w:endnote w:id="46">
    <w:p w14:paraId="2B69E592" w14:textId="77777777" w:rsidR="00A6032A" w:rsidRDefault="006C4A89">
      <w:pPr>
        <w:pStyle w:val="EndnoteText"/>
      </w:pPr>
      <w:r>
        <w:rPr>
          <w:rStyle w:val="EndnoteReference"/>
        </w:rPr>
        <w:endnoteRef/>
      </w:r>
      <w:r>
        <w:tab/>
        <w:t xml:space="preserve">It is possible that these external stakeholders may have a collection of other </w:t>
      </w:r>
      <w:r>
        <w:rPr>
          <w:i/>
        </w:rPr>
        <w:t xml:space="preserve">ad </w:t>
      </w:r>
      <w:r>
        <w:rPr>
          <w:i/>
        </w:rPr>
        <w:t>hoc</w:t>
      </w:r>
      <w:r>
        <w:t xml:space="preserve"> measures that they have internalised over time. Peter Drucker utilizes such a list of process-type measures when he names the Salvation Army as ‘by far the most effective [non-profit] organisation in the US’. His principal criteria are: clarity of miss</w:t>
      </w:r>
      <w:r>
        <w:t>ion, innovative ability, clear definition of results and willingness to measure performance. Peter Drucker, ‘Peter Drucker’s Picks’,</w:t>
      </w:r>
      <w:r>
        <w:rPr>
          <w:i/>
        </w:rPr>
        <w:t xml:space="preserve"> Forbes</w:t>
      </w:r>
      <w:r>
        <w:t>, vol 160, no 3, August 11, 1997, p 97.</w:t>
      </w:r>
    </w:p>
  </w:endnote>
  <w:endnote w:id="47">
    <w:p w14:paraId="1898E4C3" w14:textId="77777777" w:rsidR="00A6032A" w:rsidRDefault="006C4A89">
      <w:pPr>
        <w:pStyle w:val="EndnoteText"/>
      </w:pPr>
      <w:r>
        <w:rPr>
          <w:rStyle w:val="EndnoteReference"/>
        </w:rPr>
        <w:endnoteRef/>
      </w:r>
      <w:r>
        <w:tab/>
        <w:t xml:space="preserve">Alberto Melucci, </w:t>
      </w:r>
      <w:r>
        <w:rPr>
          <w:i/>
        </w:rPr>
        <w:t>Nomads of the Present,</w:t>
      </w:r>
      <w:r>
        <w:t xml:space="preserve"> Temple University Press, Philadelphia, 1989, p 206.</w:t>
      </w:r>
    </w:p>
  </w:endnote>
  <w:endnote w:id="48">
    <w:p w14:paraId="3C8CD4B2" w14:textId="77777777" w:rsidR="00A6032A" w:rsidRDefault="006C4A89">
      <w:pPr>
        <w:pStyle w:val="EndnoteText"/>
      </w:pPr>
      <w:r>
        <w:rPr>
          <w:rStyle w:val="EndnoteReference"/>
        </w:rPr>
        <w:endnoteRef/>
      </w:r>
      <w:r>
        <w:tab/>
        <w:t>Schumaker, op. cit.</w:t>
      </w:r>
    </w:p>
  </w:endnote>
  <w:endnote w:id="49">
    <w:p w14:paraId="01C891ED" w14:textId="77777777" w:rsidR="00A6032A" w:rsidRDefault="006C4A89">
      <w:pPr>
        <w:pStyle w:val="EndnoteText"/>
      </w:pPr>
      <w:r>
        <w:rPr>
          <w:rStyle w:val="EndnoteReference"/>
        </w:rPr>
        <w:endnoteRef/>
      </w:r>
      <w:r>
        <w:t xml:space="preserve"> </w:t>
      </w:r>
      <w:r>
        <w:tab/>
        <w:t>ibid.</w:t>
      </w:r>
    </w:p>
  </w:endnote>
  <w:endnote w:id="50">
    <w:p w14:paraId="0692DBBC" w14:textId="77777777" w:rsidR="00A6032A" w:rsidRDefault="006C4A89">
      <w:pPr>
        <w:pStyle w:val="EndnoteText"/>
      </w:pPr>
      <w:r>
        <w:rPr>
          <w:rStyle w:val="EndnoteReference"/>
        </w:rPr>
        <w:endnoteRef/>
      </w:r>
      <w:r>
        <w:t xml:space="preserve"> </w:t>
      </w:r>
      <w:r>
        <w:tab/>
        <w:t>Mills, op. cit., p 33.</w:t>
      </w:r>
    </w:p>
  </w:endnote>
  <w:endnote w:id="51">
    <w:p w14:paraId="4B047C56" w14:textId="77777777" w:rsidR="00A6032A" w:rsidRDefault="006C4A89">
      <w:pPr>
        <w:pStyle w:val="EndnoteText"/>
      </w:pPr>
      <w:r>
        <w:rPr>
          <w:rStyle w:val="EndnoteReference"/>
        </w:rPr>
        <w:endnoteRef/>
      </w:r>
      <w:r>
        <w:t xml:space="preserve"> </w:t>
      </w:r>
      <w:r>
        <w:tab/>
        <w:t>Royal Commission, op. cit., 1903, p10.</w:t>
      </w:r>
    </w:p>
  </w:endnote>
  <w:endnote w:id="52">
    <w:p w14:paraId="0622D331" w14:textId="77777777" w:rsidR="00A6032A" w:rsidRDefault="006C4A89">
      <w:pPr>
        <w:pStyle w:val="EndnoteText"/>
      </w:pPr>
      <w:r>
        <w:rPr>
          <w:rStyle w:val="EndnoteReference"/>
        </w:rPr>
        <w:endnoteRef/>
      </w:r>
      <w:r>
        <w:t xml:space="preserve"> </w:t>
      </w:r>
      <w:r>
        <w:tab/>
        <w:t>Royal Commission, op. cit., p</w:t>
      </w:r>
      <w:r>
        <w:rPr>
          <w:lang w:val="en-US"/>
        </w:rPr>
        <w:t xml:space="preserve"> iv.</w:t>
      </w:r>
    </w:p>
  </w:endnote>
  <w:endnote w:id="53">
    <w:p w14:paraId="010CAED6" w14:textId="77777777" w:rsidR="00A6032A" w:rsidRDefault="006C4A89">
      <w:pPr>
        <w:pStyle w:val="EndnoteText"/>
      </w:pPr>
      <w:r>
        <w:rPr>
          <w:rStyle w:val="EndnoteReference"/>
        </w:rPr>
        <w:endnoteRef/>
      </w:r>
      <w:r>
        <w:t xml:space="preserve"> </w:t>
      </w:r>
      <w:r>
        <w:tab/>
        <w:t>ibid, p 16.</w:t>
      </w:r>
    </w:p>
  </w:endnote>
  <w:endnote w:id="54">
    <w:p w14:paraId="5E9BE56A" w14:textId="77777777" w:rsidR="00A6032A" w:rsidRDefault="006C4A89">
      <w:pPr>
        <w:ind w:left="567" w:right="1985"/>
        <w:rPr>
          <w:lang w:val="en-US"/>
        </w:rPr>
      </w:pPr>
      <w:r>
        <w:rPr>
          <w:rStyle w:val="EndnoteReference"/>
        </w:rPr>
        <w:endnoteRef/>
      </w:r>
      <w:r>
        <w:t xml:space="preserve"> </w:t>
      </w:r>
      <w:r>
        <w:tab/>
        <w:t>ibid, p</w:t>
      </w:r>
      <w:r>
        <w:rPr>
          <w:lang w:val="en-US"/>
        </w:rPr>
        <w:t xml:space="preserve"> 18.</w:t>
      </w:r>
    </w:p>
    <w:p w14:paraId="1DBCEAA7" w14:textId="77777777" w:rsidR="00A6032A" w:rsidRDefault="00A6032A">
      <w:pPr>
        <w:pStyle w:val="EndnoteText"/>
      </w:pPr>
    </w:p>
  </w:endnote>
  <w:endnote w:id="55">
    <w:p w14:paraId="7382D11F" w14:textId="77777777" w:rsidR="00A6032A" w:rsidRDefault="006C4A89">
      <w:pPr>
        <w:pStyle w:val="EndnoteText"/>
      </w:pPr>
      <w:r>
        <w:rPr>
          <w:rStyle w:val="EndnoteReference"/>
        </w:rPr>
        <w:endnoteRef/>
      </w:r>
      <w:r>
        <w:t xml:space="preserve"> </w:t>
      </w:r>
      <w:r>
        <w:tab/>
        <w:t xml:space="preserve">This successful tender by the </w:t>
      </w:r>
      <w:r>
        <w:t>Kauri Timber Co was won with the assistance of their auditor Charles Court (later Sir Charles and State Liberal Premier from 1974-82).</w:t>
      </w:r>
    </w:p>
  </w:endnote>
  <w:endnote w:id="56">
    <w:p w14:paraId="7C9D84E6" w14:textId="77777777" w:rsidR="00A6032A" w:rsidRDefault="006C4A89">
      <w:pPr>
        <w:pStyle w:val="EndnoteText"/>
      </w:pPr>
      <w:r>
        <w:rPr>
          <w:rStyle w:val="EndnoteReference"/>
        </w:rPr>
        <w:endnoteRef/>
      </w:r>
      <w:r>
        <w:t xml:space="preserve"> </w:t>
      </w:r>
      <w:r>
        <w:tab/>
        <w:t>Mills, op. cit., pp 159-161.</w:t>
      </w:r>
    </w:p>
  </w:endnote>
  <w:endnote w:id="57">
    <w:p w14:paraId="42006876" w14:textId="77777777" w:rsidR="00A6032A" w:rsidRDefault="006C4A89">
      <w:pPr>
        <w:pStyle w:val="EndnoteText"/>
      </w:pPr>
      <w:r>
        <w:rPr>
          <w:rStyle w:val="EndnoteReference"/>
        </w:rPr>
        <w:endnoteRef/>
      </w:r>
      <w:r>
        <w:t xml:space="preserve"> </w:t>
      </w:r>
      <w:r>
        <w:tab/>
        <w:t>ibid, pp 161-162.</w:t>
      </w:r>
    </w:p>
  </w:endnote>
  <w:endnote w:id="58">
    <w:p w14:paraId="24B448EA" w14:textId="77777777" w:rsidR="00A6032A" w:rsidRDefault="006C4A89">
      <w:pPr>
        <w:pStyle w:val="EndnoteText"/>
      </w:pPr>
      <w:r>
        <w:rPr>
          <w:rStyle w:val="EndnoteReference"/>
        </w:rPr>
        <w:endnoteRef/>
      </w:r>
      <w:r>
        <w:t xml:space="preserve"> </w:t>
      </w:r>
      <w:r>
        <w:tab/>
        <w:t>ibid, p 165.</w:t>
      </w:r>
    </w:p>
  </w:endnote>
  <w:endnote w:id="59">
    <w:p w14:paraId="335E0EE0" w14:textId="77777777" w:rsidR="00A6032A" w:rsidRDefault="006C4A89">
      <w:pPr>
        <w:pStyle w:val="EndnoteText"/>
      </w:pPr>
      <w:r>
        <w:rPr>
          <w:rStyle w:val="EndnoteReference"/>
        </w:rPr>
        <w:endnoteRef/>
      </w:r>
      <w:r>
        <w:t xml:space="preserve"> </w:t>
      </w:r>
      <w:r>
        <w:tab/>
      </w:r>
      <w:r>
        <w:rPr>
          <w:lang w:val="en-US"/>
        </w:rPr>
        <w:t>Mr Malthouse ad taken the Eagles to the AFL final</w:t>
      </w:r>
      <w:r>
        <w:rPr>
          <w:lang w:val="en-US"/>
        </w:rPr>
        <w:t>s in all of his years coaching them, including winning 2 Grand Finals in 1992 and 1994. He was seen as a hero in WA for this and he was also seen by many as above politics.</w:t>
      </w:r>
    </w:p>
  </w:endnote>
  <w:endnote w:id="60">
    <w:p w14:paraId="3A6D875C" w14:textId="77777777" w:rsidR="00A6032A" w:rsidRDefault="006C4A89">
      <w:pPr>
        <w:pStyle w:val="EndnoteText"/>
      </w:pPr>
      <w:r>
        <w:rPr>
          <w:rStyle w:val="EndnoteReference"/>
        </w:rPr>
        <w:endnoteRef/>
      </w:r>
      <w:r>
        <w:t xml:space="preserve"> </w:t>
      </w:r>
      <w:r>
        <w:tab/>
      </w:r>
      <w:r>
        <w:rPr>
          <w:lang w:val="en-US"/>
        </w:rPr>
        <w:t xml:space="preserve">Nick Miller, ‘Coach Fuels Logging Row’, </w:t>
      </w:r>
      <w:r>
        <w:rPr>
          <w:i/>
          <w:lang w:val="en-US"/>
        </w:rPr>
        <w:t>The West Australian</w:t>
      </w:r>
      <w:r>
        <w:rPr>
          <w:lang w:val="en-US"/>
        </w:rPr>
        <w:t>, 4 June 1998, p 1</w:t>
      </w:r>
      <w:r>
        <w:rPr>
          <w:i/>
          <w:lang w:val="en-US"/>
        </w:rPr>
        <w:t>.</w:t>
      </w:r>
    </w:p>
  </w:endnote>
  <w:endnote w:id="61">
    <w:p w14:paraId="16EEA20D" w14:textId="77777777" w:rsidR="00A6032A" w:rsidRDefault="006C4A89">
      <w:pPr>
        <w:pStyle w:val="EndnoteText"/>
      </w:pPr>
      <w:r>
        <w:rPr>
          <w:rStyle w:val="EndnoteReference"/>
        </w:rPr>
        <w:endnoteRef/>
      </w:r>
      <w:r>
        <w:t xml:space="preserve"> </w:t>
      </w:r>
      <w:r>
        <w:tab/>
        <w:t xml:space="preserve">Gareth </w:t>
      </w:r>
      <w:r>
        <w:rPr>
          <w:snapToGrid w:val="0"/>
          <w:color w:val="000000"/>
        </w:rPr>
        <w:t xml:space="preserve">Malpeli, ‘Malthouse Plea Sets up Forests Campaign’, </w:t>
      </w:r>
      <w:r>
        <w:rPr>
          <w:i/>
          <w:lang w:val="en-US"/>
        </w:rPr>
        <w:t xml:space="preserve">The West Australian, </w:t>
      </w:r>
      <w:r>
        <w:rPr>
          <w:lang w:val="en-US"/>
        </w:rPr>
        <w:t>8 June</w:t>
      </w:r>
      <w:r>
        <w:rPr>
          <w:snapToGrid w:val="0"/>
          <w:color w:val="000000"/>
        </w:rPr>
        <w:t xml:space="preserve"> 1998, p 6.</w:t>
      </w:r>
    </w:p>
  </w:endnote>
  <w:endnote w:id="62">
    <w:p w14:paraId="5BCB8717" w14:textId="77777777" w:rsidR="00A6032A" w:rsidRDefault="006C4A89">
      <w:pPr>
        <w:pStyle w:val="EndnoteText"/>
      </w:pPr>
      <w:r>
        <w:rPr>
          <w:rStyle w:val="EndnoteReference"/>
        </w:rPr>
        <w:endnoteRef/>
      </w:r>
      <w:r>
        <w:t xml:space="preserve"> </w:t>
      </w:r>
      <w:r>
        <w:tab/>
        <w:t xml:space="preserve">Mark Irving, ‘CALM's Forests At Risk: Report’, </w:t>
      </w:r>
      <w:r>
        <w:rPr>
          <w:i/>
          <w:lang w:val="en-US"/>
        </w:rPr>
        <w:t>The West Australian,</w:t>
      </w:r>
      <w:r>
        <w:t xml:space="preserve"> 8 December 1998, p 1.</w:t>
      </w:r>
    </w:p>
  </w:endnote>
  <w:endnote w:id="63">
    <w:p w14:paraId="2A0A6A4E" w14:textId="77777777" w:rsidR="00A6032A" w:rsidRDefault="006C4A89">
      <w:pPr>
        <w:pStyle w:val="EndnoteText"/>
      </w:pPr>
      <w:r>
        <w:rPr>
          <w:rStyle w:val="EndnoteReference"/>
        </w:rPr>
        <w:endnoteRef/>
      </w:r>
      <w:r>
        <w:t xml:space="preserve"> </w:t>
      </w:r>
      <w:r>
        <w:tab/>
        <w:t xml:space="preserve">Anne Burns, ‘Nationals See Votes Through Gap In The Trees’, </w:t>
      </w:r>
      <w:r>
        <w:rPr>
          <w:i/>
          <w:lang w:val="en-US"/>
        </w:rPr>
        <w:t>The West Australian,</w:t>
      </w:r>
      <w:r>
        <w:t xml:space="preserve"> 11 December 1998, p 15.</w:t>
      </w:r>
    </w:p>
  </w:endnote>
  <w:endnote w:id="64">
    <w:p w14:paraId="6C9CE9DB" w14:textId="77777777" w:rsidR="00A6032A" w:rsidRDefault="006C4A89">
      <w:pPr>
        <w:pStyle w:val="EndnoteText"/>
      </w:pPr>
      <w:r>
        <w:rPr>
          <w:rStyle w:val="EndnoteReference"/>
        </w:rPr>
        <w:endnoteRef/>
      </w:r>
      <w:r>
        <w:t xml:space="preserve"> </w:t>
      </w:r>
      <w:r>
        <w:tab/>
        <w:t xml:space="preserve">Andre Malan, ‘Forest Fire Far From Friendly’, </w:t>
      </w:r>
      <w:r>
        <w:rPr>
          <w:i/>
          <w:lang w:val="en-US"/>
        </w:rPr>
        <w:t>The West Australian,</w:t>
      </w:r>
      <w:r>
        <w:t xml:space="preserve"> 17 December 1998, p 15.</w:t>
      </w:r>
    </w:p>
  </w:endnote>
  <w:endnote w:id="65">
    <w:p w14:paraId="5AC46740" w14:textId="77777777" w:rsidR="00A6032A" w:rsidRDefault="006C4A89">
      <w:pPr>
        <w:pStyle w:val="EndnoteText"/>
      </w:pPr>
      <w:r>
        <w:rPr>
          <w:rStyle w:val="EndnoteReference"/>
        </w:rPr>
        <w:endnoteRef/>
      </w:r>
      <w:r>
        <w:t xml:space="preserve"> </w:t>
      </w:r>
      <w:r>
        <w:tab/>
        <w:t xml:space="preserve">Anne Burns, ‘CALM Admits RFA Error’, </w:t>
      </w:r>
      <w:r>
        <w:rPr>
          <w:i/>
          <w:lang w:val="en-US"/>
        </w:rPr>
        <w:t>The West Australian,</w:t>
      </w:r>
      <w:r>
        <w:t xml:space="preserve"> 14 July 1999, p 6.</w:t>
      </w:r>
    </w:p>
  </w:endnote>
  <w:endnote w:id="66">
    <w:p w14:paraId="3BB9E348" w14:textId="77777777" w:rsidR="00A6032A" w:rsidRDefault="006C4A89">
      <w:pPr>
        <w:pStyle w:val="EndnoteText"/>
      </w:pPr>
      <w:r>
        <w:rPr>
          <w:rStyle w:val="EndnoteReference"/>
        </w:rPr>
        <w:endnoteRef/>
      </w:r>
      <w:r>
        <w:t xml:space="preserve"> </w:t>
      </w:r>
      <w:r>
        <w:tab/>
        <w:t>Anne Burns, ‘One-third of RFA rese</w:t>
      </w:r>
      <w:r>
        <w:t xml:space="preserve">rves not forest’, </w:t>
      </w:r>
      <w:r>
        <w:rPr>
          <w:i/>
          <w:lang w:val="en-US"/>
        </w:rPr>
        <w:t>The West Australian,</w:t>
      </w:r>
      <w:r>
        <w:t xml:space="preserve"> 15 July 1999, p 3.</w:t>
      </w:r>
    </w:p>
  </w:endnote>
  <w:endnote w:id="67">
    <w:p w14:paraId="6551239C" w14:textId="77777777" w:rsidR="00A6032A" w:rsidRDefault="006C4A89">
      <w:pPr>
        <w:pStyle w:val="EndnoteText"/>
      </w:pPr>
      <w:r>
        <w:rPr>
          <w:rStyle w:val="EndnoteReference"/>
        </w:rPr>
        <w:endnoteRef/>
      </w:r>
      <w:r>
        <w:t xml:space="preserve"> </w:t>
      </w:r>
      <w:r>
        <w:tab/>
        <w:t xml:space="preserve">Anne Burns, ‘Court RFA Backflip Will Cost 1500 Jobs’ </w:t>
      </w:r>
      <w:r>
        <w:rPr>
          <w:i/>
          <w:lang w:val="en-US"/>
        </w:rPr>
        <w:t>The West Australian,</w:t>
      </w:r>
      <w:r>
        <w:t xml:space="preserve"> 28 July 1999, p 1.</w:t>
      </w:r>
    </w:p>
  </w:endnote>
  <w:endnote w:id="68">
    <w:p w14:paraId="74D00B6F" w14:textId="77777777" w:rsidR="00A6032A" w:rsidRDefault="006C4A89">
      <w:pPr>
        <w:pStyle w:val="EndnoteText"/>
      </w:pPr>
      <w:r>
        <w:rPr>
          <w:rStyle w:val="EndnoteReference"/>
        </w:rPr>
        <w:endnoteRef/>
      </w:r>
      <w:r>
        <w:t xml:space="preserve"> </w:t>
      </w:r>
      <w:r>
        <w:tab/>
        <w:t xml:space="preserve">Anne Burns, ‘CALM Restructure Clearfells Shea’, </w:t>
      </w:r>
      <w:r>
        <w:rPr>
          <w:i/>
          <w:lang w:val="en-US"/>
        </w:rPr>
        <w:t>The West Australian,</w:t>
      </w:r>
      <w:r>
        <w:t xml:space="preserve"> 26 November 1999, p 1.</w:t>
      </w:r>
    </w:p>
  </w:endnote>
  <w:endnote w:id="69">
    <w:p w14:paraId="6C539383" w14:textId="77777777" w:rsidR="00A6032A" w:rsidRDefault="006C4A89">
      <w:pPr>
        <w:pStyle w:val="EndnoteText"/>
      </w:pPr>
      <w:r>
        <w:rPr>
          <w:rStyle w:val="EndnoteReference"/>
        </w:rPr>
        <w:endnoteRef/>
      </w:r>
      <w:r>
        <w:t xml:space="preserve"> </w:t>
      </w:r>
      <w:r>
        <w:tab/>
        <w:t>Dona</w:t>
      </w:r>
      <w:r>
        <w:t xml:space="preserve">ld </w:t>
      </w:r>
      <w:r>
        <w:rPr>
          <w:lang w:val="en-US"/>
        </w:rPr>
        <w:t xml:space="preserve">Stewart and Greg McColl. ‘The Resource Assessment Commission: An Inside Assessment’, </w:t>
      </w:r>
      <w:r>
        <w:rPr>
          <w:i/>
          <w:lang w:val="en-US"/>
        </w:rPr>
        <w:t>Australian Journal of Environmental Management</w:t>
      </w:r>
      <w:r>
        <w:rPr>
          <w:lang w:val="en-US"/>
        </w:rPr>
        <w:t xml:space="preserve">, vol 1, July 1994, p18. </w:t>
      </w:r>
    </w:p>
  </w:endnote>
  <w:endnote w:id="70">
    <w:p w14:paraId="5D4F01E6" w14:textId="77777777" w:rsidR="00A6032A" w:rsidRDefault="006C4A89">
      <w:pPr>
        <w:pStyle w:val="EndnoteText"/>
      </w:pPr>
      <w:r>
        <w:rPr>
          <w:rStyle w:val="EndnoteReference"/>
        </w:rPr>
        <w:endnoteRef/>
      </w:r>
      <w:r>
        <w:t xml:space="preserve"> </w:t>
      </w:r>
      <w:r>
        <w:tab/>
        <w:t>ibid p 19.</w:t>
      </w:r>
    </w:p>
  </w:endnote>
  <w:endnote w:id="71">
    <w:p w14:paraId="3B08B164" w14:textId="77777777" w:rsidR="00A6032A" w:rsidRDefault="006C4A89">
      <w:pPr>
        <w:pStyle w:val="EndnoteText"/>
      </w:pPr>
      <w:r>
        <w:rPr>
          <w:rStyle w:val="EndnoteReference"/>
        </w:rPr>
        <w:endnoteRef/>
      </w:r>
      <w:r>
        <w:t xml:space="preserve"> </w:t>
      </w:r>
      <w:r>
        <w:tab/>
        <w:t>Stewart &amp; McColl, op. cit. p 19.</w:t>
      </w:r>
    </w:p>
  </w:endnote>
  <w:endnote w:id="72">
    <w:p w14:paraId="578A2530" w14:textId="77777777" w:rsidR="00A6032A" w:rsidRDefault="006C4A89">
      <w:pPr>
        <w:pStyle w:val="EndnoteText"/>
      </w:pPr>
      <w:r>
        <w:rPr>
          <w:rStyle w:val="EndnoteReference"/>
        </w:rPr>
        <w:endnoteRef/>
      </w:r>
      <w:r>
        <w:tab/>
        <w:t xml:space="preserve">The evasiveness may also have been due to </w:t>
      </w:r>
      <w:r>
        <w:t>worries about the confidentiality of their comments. The Liberal politician refused to sign the standard university ethics clearance before the interview and only agreed to complete it at the conclusion of the interview.</w:t>
      </w:r>
    </w:p>
  </w:endnote>
  <w:endnote w:id="73">
    <w:p w14:paraId="69C196CD" w14:textId="77777777" w:rsidR="00A6032A" w:rsidRDefault="006C4A89">
      <w:pPr>
        <w:pStyle w:val="EndnoteText"/>
      </w:pPr>
      <w:r>
        <w:rPr>
          <w:rStyle w:val="EndnoteReference"/>
        </w:rPr>
        <w:endnoteRef/>
      </w:r>
      <w:r>
        <w:t xml:space="preserve"> </w:t>
      </w:r>
      <w:r>
        <w:tab/>
        <w:t>Chris Talbot and Phil Saj, ‘Prom</w:t>
      </w:r>
      <w:r>
        <w:t xml:space="preserve">oting Vision and Mission: Multiple Stakeholders and Frameworks of Accountability’, </w:t>
      </w:r>
      <w:r>
        <w:rPr>
          <w:i/>
        </w:rPr>
        <w:t>Third Sector Review</w:t>
      </w:r>
      <w:r>
        <w:t>, vol 9, no 1, 2003, pp 137-153.</w:t>
      </w:r>
    </w:p>
  </w:endnote>
  <w:endnote w:id="74">
    <w:p w14:paraId="42C313AF" w14:textId="77777777" w:rsidR="00A6032A" w:rsidRDefault="006C4A89">
      <w:pPr>
        <w:pStyle w:val="EndnoteText"/>
      </w:pPr>
      <w:r>
        <w:rPr>
          <w:rStyle w:val="EndnoteReference"/>
        </w:rPr>
        <w:endnoteRef/>
      </w:r>
      <w:r>
        <w:tab/>
        <w:t>This refers to the Court Government’s backdown on its original RFA proposal within 12 weeks of releasing it.</w:t>
      </w:r>
    </w:p>
  </w:endnote>
  <w:endnote w:id="75">
    <w:p w14:paraId="50D6F8EA" w14:textId="77777777" w:rsidR="00A6032A" w:rsidRDefault="006C4A89">
      <w:pPr>
        <w:pStyle w:val="Reference"/>
        <w:rPr>
          <w:snapToGrid w:val="0"/>
          <w:color w:val="000000"/>
        </w:rPr>
      </w:pPr>
      <w:r>
        <w:rPr>
          <w:rStyle w:val="EndnoteReference"/>
        </w:rPr>
        <w:endnoteRef/>
      </w:r>
      <w:r>
        <w:t xml:space="preserve"> </w:t>
      </w:r>
      <w:r>
        <w:tab/>
      </w:r>
      <w:r>
        <w:rPr>
          <w:snapToGrid w:val="0"/>
          <w:color w:val="000000"/>
        </w:rPr>
        <w:t xml:space="preserve">RAC, </w:t>
      </w:r>
      <w:r>
        <w:rPr>
          <w:i/>
          <w:snapToGrid w:val="0"/>
          <w:color w:val="000000"/>
        </w:rPr>
        <w:t>Community Attitudes to the Environment, Forests and Forest Management in Australia</w:t>
      </w:r>
      <w:r>
        <w:rPr>
          <w:snapToGrid w:val="0"/>
          <w:color w:val="000000"/>
        </w:rPr>
        <w:t>, Forest and Timber Inquiry Report 91/09, Resource Assessment Commission, Canberra, 1991, p 1.</w:t>
      </w:r>
    </w:p>
    <w:p w14:paraId="621808C4" w14:textId="77777777" w:rsidR="00A6032A" w:rsidRDefault="00A6032A">
      <w:pPr>
        <w:pStyle w:val="EndnoteText"/>
      </w:pPr>
    </w:p>
  </w:endnote>
  <w:endnote w:id="76">
    <w:p w14:paraId="4F152649" w14:textId="77777777" w:rsidR="00A6032A" w:rsidRDefault="006C4A89">
      <w:pPr>
        <w:ind w:firstLine="720"/>
      </w:pPr>
      <w:r>
        <w:rPr>
          <w:rStyle w:val="EndnoteReference"/>
          <w:lang w:val="en-US"/>
        </w:rPr>
        <w:endnoteRef/>
      </w:r>
      <w:r>
        <w:t>Joseph Banks,</w:t>
      </w:r>
      <w:r>
        <w:rPr>
          <w:b/>
        </w:rPr>
        <w:t xml:space="preserve"> </w:t>
      </w:r>
      <w:r>
        <w:rPr>
          <w:i/>
        </w:rPr>
        <w:t>The Sociology of Social Movements</w:t>
      </w:r>
      <w:r>
        <w:t>, Anchor Press, Essex, 19</w:t>
      </w:r>
      <w:r>
        <w:t>72, p 17.</w:t>
      </w:r>
    </w:p>
  </w:endnote>
  <w:endnote w:id="77">
    <w:p w14:paraId="796AAB9D" w14:textId="77777777" w:rsidR="00A6032A" w:rsidRDefault="006C4A89">
      <w:pPr>
        <w:pStyle w:val="EndnoteText"/>
      </w:pPr>
      <w:r>
        <w:rPr>
          <w:rStyle w:val="EndnoteReference"/>
        </w:rPr>
        <w:endnoteRef/>
      </w:r>
      <w:r>
        <w:tab/>
        <w:t>Heberle, op. cit., p 118.</w:t>
      </w:r>
    </w:p>
  </w:endnote>
  <w:endnote w:id="78">
    <w:p w14:paraId="0C4691DC" w14:textId="77777777" w:rsidR="00A6032A" w:rsidRDefault="006C4A89">
      <w:pPr>
        <w:pStyle w:val="EndnoteText"/>
      </w:pPr>
      <w:r>
        <w:rPr>
          <w:rStyle w:val="EndnoteReference"/>
        </w:rPr>
        <w:endnoteRef/>
      </w:r>
      <w:r>
        <w:tab/>
        <w:t>Tilly undertook a historical comparison of various aspects of the French counter-revolutionary district of Southern Ajou (Cholet) and the most revolutionary district (Saumur) as a way of examining the counter-revolut</w:t>
      </w:r>
      <w:r>
        <w:t>ion in the Vendee in the French Revolution period from 1793 to 1799. Charles Tilly, ‘Analysis of Counter-Revolution’,</w:t>
      </w:r>
      <w:r>
        <w:rPr>
          <w:i/>
        </w:rPr>
        <w:t xml:space="preserve"> </w:t>
      </w:r>
      <w:r>
        <w:t xml:space="preserve">in </w:t>
      </w:r>
      <w:r>
        <w:rPr>
          <w:i/>
        </w:rPr>
        <w:t>Protest, Reform and Revolt</w:t>
      </w:r>
      <w:r>
        <w:t>, Joseph Gusfield (ed), 1970, John Wiley &amp; Sons, New York, 1963, p 62.</w:t>
      </w:r>
    </w:p>
  </w:endnote>
  <w:endnote w:id="79">
    <w:p w14:paraId="0A566716" w14:textId="77777777" w:rsidR="00A6032A" w:rsidRDefault="006C4A89">
      <w:r>
        <w:rPr>
          <w:rStyle w:val="EndnoteReference"/>
          <w:lang w:val="en-US"/>
        </w:rPr>
        <w:endnoteRef/>
      </w:r>
      <w:r>
        <w:tab/>
        <w:t>George Marcus</w:t>
      </w:r>
      <w:r>
        <w:rPr>
          <w:b/>
        </w:rPr>
        <w:t>,</w:t>
      </w:r>
      <w:r>
        <w:t xml:space="preserve"> ‘Emotions and Politic</w:t>
      </w:r>
      <w:r>
        <w:t xml:space="preserve">s: Hot Cognitions and the Rediscovery of Passion’, </w:t>
      </w:r>
      <w:r>
        <w:rPr>
          <w:i/>
        </w:rPr>
        <w:t>Social Science Information</w:t>
      </w:r>
      <w:r>
        <w:t>, vol 30, no 2, 1991, pp 195-232.</w:t>
      </w:r>
    </w:p>
  </w:endnote>
  <w:endnote w:id="80">
    <w:p w14:paraId="2FBD7961" w14:textId="77777777" w:rsidR="00A6032A" w:rsidRDefault="006C4A89">
      <w:r>
        <w:rPr>
          <w:rStyle w:val="EndnoteReference"/>
        </w:rPr>
        <w:endnoteRef/>
      </w:r>
      <w:r>
        <w:tab/>
        <w:t xml:space="preserve">Elim Papadakis, </w:t>
      </w:r>
      <w:r>
        <w:rPr>
          <w:i/>
        </w:rPr>
        <w:t>Politics and the Environment: The Australian Experience</w:t>
      </w:r>
      <w:r>
        <w:t>, Allen &amp; Unwin, Sydney, 1993, p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D795" w14:textId="77777777" w:rsidR="00A6032A" w:rsidRDefault="006C4A89">
    <w:pPr>
      <w:pStyle w:val="Footer"/>
      <w:jc w:val="center"/>
      <w:rPr>
        <w:b/>
        <w:u w:val="single"/>
      </w:rPr>
    </w:pPr>
    <w:r>
      <w:rPr>
        <w:b/>
        <w:u w:val="single"/>
      </w:rPr>
      <w:t xml:space="preserve">Page </w:t>
    </w:r>
    <w:r>
      <w:rPr>
        <w:rStyle w:val="PageNumber"/>
        <w:b/>
        <w:u w:val="single"/>
      </w:rPr>
      <w:fldChar w:fldCharType="begin"/>
    </w:r>
    <w:r>
      <w:rPr>
        <w:rStyle w:val="PageNumber"/>
        <w:b/>
        <w:u w:val="single"/>
      </w:rPr>
      <w:instrText xml:space="preserve"> PAGE </w:instrText>
    </w:r>
    <w:r>
      <w:rPr>
        <w:rStyle w:val="PageNumber"/>
        <w:b/>
        <w:u w:val="single"/>
      </w:rPr>
      <w:fldChar w:fldCharType="separate"/>
    </w:r>
    <w:r>
      <w:rPr>
        <w:rStyle w:val="PageNumber"/>
        <w:b/>
        <w:u w:val="single"/>
      </w:rPr>
      <w:t>10</w:t>
    </w:r>
    <w:r>
      <w:rPr>
        <w:rStyle w:val="PageNumbe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098B" w14:textId="77777777" w:rsidR="006C4A89" w:rsidRDefault="006C4A89">
      <w:r>
        <w:separator/>
      </w:r>
    </w:p>
  </w:footnote>
  <w:footnote w:type="continuationSeparator" w:id="0">
    <w:p w14:paraId="01297429" w14:textId="77777777" w:rsidR="006C4A89" w:rsidRDefault="006C4A89">
      <w:r>
        <w:continuationSeparator/>
      </w:r>
    </w:p>
  </w:footnote>
  <w:footnote w:id="1">
    <w:p w14:paraId="44D6BF13" w14:textId="77777777" w:rsidR="00A6032A" w:rsidRDefault="006C4A89">
      <w:pPr>
        <w:pStyle w:val="FootnoteText"/>
      </w:pPr>
      <w:r>
        <w:rPr>
          <w:rStyle w:val="FootnoteReference"/>
        </w:rPr>
        <w:footnoteRef/>
      </w:r>
      <w:r>
        <w:t xml:space="preserve"> For example, the ALP moved to a position of opposing the logging of old growth forests at its May 1999 State Conference (Burns, A, 1999: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2A"/>
    <w:rsid w:val="006C4A89"/>
    <w:rsid w:val="00A477A6"/>
    <w:rsid w:val="00A6032A"/>
    <w:rsid w:val="0ABA39D4"/>
    <w:rsid w:val="6EC8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8684C"/>
  <w15:docId w15:val="{01C116DB-FCC7-4AB2-9FC8-EEF32B1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en-GB" w:eastAsia="en-GB" w:bidi="ar-SA"/>
      </w:rPr>
    </w:rPrDefault>
    <w:pPrDefault/>
  </w:docDefaults>
  <w:latentStyles w:defLockedState="0" w:defUIPriority="0" w:defSemiHidden="0" w:defUnhideWhenUsed="0" w:defQFormat="0" w:count="376">
    <w:lsdException w:name="Normal" w:uiPriority="7"/>
    <w:lsdException w:name="heading 1" w:uiPriority="6"/>
    <w:lsdException w:name="heading 2" w:uiPriority="6"/>
    <w:lsdException w:name="heading 3" w:uiPriority="6"/>
    <w:lsdException w:name="heading 4" w:uiPriority="6"/>
    <w:lsdException w:name="heading 5" w:uiPriority="6"/>
    <w:lsdException w:name="heading 6" w:uiPriority="6"/>
    <w:lsdException w:name="heading 7" w:uiPriority="6"/>
    <w:lsdException w:name="heading 8" w:uiPriority="6"/>
    <w:lsdException w:name="heading 9" w:uiPriority="6"/>
    <w:lsdException w:name="toc 1" w:semiHidden="1" w:uiPriority="4"/>
    <w:lsdException w:name="toc 2" w:semiHidden="1" w:uiPriority="4"/>
    <w:lsdException w:name="toc 3" w:semiHidden="1" w:uiPriority="4"/>
    <w:lsdException w:name="toc 4" w:semiHidden="1" w:uiPriority="4"/>
    <w:lsdException w:name="toc 5" w:semiHidden="1" w:uiPriority="4"/>
    <w:lsdException w:name="toc 6" w:semiHidden="1" w:uiPriority="4"/>
    <w:lsdException w:name="toc 7" w:semiHidden="1" w:uiPriority="4"/>
    <w:lsdException w:name="toc 8" w:semiHidden="1" w:uiPriority="4"/>
    <w:lsdException w:name="toc 9" w:semiHidden="1" w:uiPriority="4"/>
    <w:lsdException w:name="footnote text" w:semiHidden="1" w:uiPriority="6"/>
    <w:lsdException w:name="header" w:uiPriority="6"/>
    <w:lsdException w:name="footer" w:uiPriority="6"/>
    <w:lsdException w:name="caption" w:semiHidden="1" w:unhideWhenUsed="1" w:qFormat="1"/>
    <w:lsdException w:name="footnote reference" w:semiHidden="1" w:uiPriority="6"/>
    <w:lsdException w:name="page number" w:uiPriority="6"/>
    <w:lsdException w:name="endnote reference" w:semiHidden="1" w:uiPriority="6"/>
    <w:lsdException w:name="endnote text" w:semiHidden="1" w:uiPriority="6"/>
    <w:lsdException w:name="Title" w:qFormat="1"/>
    <w:lsdException w:name="Default Paragraph Font" w:semiHidden="1" w:uiPriority="6"/>
    <w:lsdException w:name="Body Text" w:uiPriority="6"/>
    <w:lsdException w:name="Body Text Indent" w:uiPriority="6"/>
    <w:lsdException w:name="Subtitle" w:qFormat="1"/>
    <w:lsdException w:name="Body Text 2" w:uiPriority="6" w:qFormat="1"/>
    <w:lsdException w:name="Body Text 3" w:uiPriority="6"/>
    <w:lsdException w:name="Body Text Indent 2" w:uiPriority="6"/>
    <w:lsdException w:name="Body Text Indent 3" w:uiPriority="6"/>
    <w:lsdException w:name="Block Text" w:uiPriority="6"/>
    <w:lsdException w:name="Hyperlink" w:uiPriority="7"/>
    <w:lsdException w:name="Strong" w:qFormat="1"/>
    <w:lsdException w:name="Emphasis" w:qFormat="1"/>
    <w:lsdException w:name="Plain Text" w:uiPriority="6"/>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pPr>
      <w:overflowPunct w:val="0"/>
      <w:autoSpaceDE w:val="0"/>
      <w:autoSpaceDN w:val="0"/>
      <w:adjustRightInd w:val="0"/>
      <w:textAlignment w:val="baseline"/>
    </w:pPr>
    <w:rPr>
      <w:lang w:val="en-AU" w:eastAsia="en-US"/>
    </w:rPr>
  </w:style>
  <w:style w:type="paragraph" w:styleId="Heading1">
    <w:name w:val="heading 1"/>
    <w:basedOn w:val="Normal"/>
    <w:next w:val="Normal"/>
    <w:uiPriority w:val="6"/>
    <w:pPr>
      <w:keepNext/>
      <w:outlineLvl w:val="0"/>
    </w:pPr>
    <w:rPr>
      <w:rFonts w:ascii="Arial" w:hAnsi="Arial"/>
      <w:b/>
      <w:sz w:val="28"/>
    </w:rPr>
  </w:style>
  <w:style w:type="paragraph" w:styleId="Heading2">
    <w:name w:val="heading 2"/>
    <w:basedOn w:val="Normal"/>
    <w:next w:val="Normal"/>
    <w:uiPriority w:val="6"/>
    <w:pPr>
      <w:keepNext/>
      <w:outlineLvl w:val="1"/>
    </w:pPr>
    <w:rPr>
      <w:b/>
    </w:rPr>
  </w:style>
  <w:style w:type="paragraph" w:styleId="Heading3">
    <w:name w:val="heading 3"/>
    <w:basedOn w:val="Normal"/>
    <w:next w:val="Normal"/>
    <w:uiPriority w:val="6"/>
    <w:pPr>
      <w:keepNext/>
      <w:widowControl w:val="0"/>
      <w:jc w:val="both"/>
      <w:outlineLvl w:val="2"/>
    </w:pPr>
    <w:rPr>
      <w:b/>
      <w:sz w:val="28"/>
      <w:lang w:val="en-GB"/>
    </w:rPr>
  </w:style>
  <w:style w:type="paragraph" w:styleId="Heading4">
    <w:name w:val="heading 4"/>
    <w:basedOn w:val="Normal"/>
    <w:next w:val="Normal"/>
    <w:uiPriority w:val="6"/>
    <w:pPr>
      <w:keepNext/>
      <w:widowControl w:val="0"/>
      <w:pBdr>
        <w:top w:val="single" w:sz="6" w:space="10" w:color="auto"/>
        <w:left w:val="single" w:sz="6" w:space="10" w:color="auto"/>
        <w:bottom w:val="single" w:sz="6" w:space="10" w:color="auto"/>
        <w:right w:val="single" w:sz="6" w:space="10" w:color="auto"/>
      </w:pBdr>
      <w:jc w:val="center"/>
      <w:outlineLvl w:val="3"/>
    </w:pPr>
    <w:rPr>
      <w:rFonts w:ascii="Arial" w:hAnsi="Arial"/>
      <w:b/>
      <w:sz w:val="36"/>
      <w:u w:val="single"/>
    </w:rPr>
  </w:style>
  <w:style w:type="paragraph" w:styleId="Heading5">
    <w:name w:val="heading 5"/>
    <w:basedOn w:val="Normal"/>
    <w:next w:val="Normal"/>
    <w:uiPriority w:val="6"/>
    <w:pPr>
      <w:keepNext/>
      <w:jc w:val="both"/>
      <w:outlineLvl w:val="4"/>
    </w:pPr>
    <w:rPr>
      <w:b/>
      <w:sz w:val="24"/>
      <w:u w:val="single"/>
    </w:rPr>
  </w:style>
  <w:style w:type="paragraph" w:styleId="Heading6">
    <w:name w:val="heading 6"/>
    <w:basedOn w:val="Normal"/>
    <w:next w:val="Normal"/>
    <w:uiPriority w:val="6"/>
    <w:pPr>
      <w:keepNext/>
      <w:outlineLvl w:val="5"/>
    </w:pPr>
    <w:rPr>
      <w:b/>
      <w:i/>
      <w:sz w:val="22"/>
    </w:rPr>
  </w:style>
  <w:style w:type="paragraph" w:styleId="Heading7">
    <w:name w:val="heading 7"/>
    <w:basedOn w:val="Normal"/>
    <w:next w:val="Normal"/>
    <w:uiPriority w:val="6"/>
    <w:pPr>
      <w:keepNext/>
      <w:spacing w:line="360" w:lineRule="auto"/>
      <w:outlineLvl w:val="6"/>
    </w:pPr>
    <w:rPr>
      <w:rFonts w:ascii="Arial" w:hAnsi="Arial"/>
      <w:b/>
      <w:sz w:val="22"/>
    </w:rPr>
  </w:style>
  <w:style w:type="paragraph" w:styleId="Heading8">
    <w:name w:val="heading 8"/>
    <w:basedOn w:val="Normal"/>
    <w:next w:val="Normal"/>
    <w:uiPriority w:val="6"/>
    <w:pPr>
      <w:keepNext/>
      <w:outlineLvl w:val="7"/>
    </w:pPr>
    <w:rPr>
      <w:sz w:val="22"/>
      <w:u w:val="single"/>
    </w:rPr>
  </w:style>
  <w:style w:type="paragraph" w:styleId="Heading9">
    <w:name w:val="heading 9"/>
    <w:basedOn w:val="Normal"/>
    <w:next w:val="Normal"/>
    <w:uiPriority w:val="6"/>
    <w:pPr>
      <w:keepNext/>
      <w:spacing w:line="360" w:lineRule="auto"/>
      <w:ind w:firstLine="709"/>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
    <w:pPr>
      <w:ind w:left="1134" w:right="1792"/>
      <w:jc w:val="both"/>
    </w:pPr>
    <w:rPr>
      <w:b/>
      <w:i/>
      <w:sz w:val="22"/>
    </w:rPr>
  </w:style>
  <w:style w:type="paragraph" w:styleId="BodyText">
    <w:name w:val="Body Text"/>
    <w:basedOn w:val="Normal"/>
    <w:uiPriority w:val="6"/>
    <w:pPr>
      <w:widowControl w:val="0"/>
      <w:jc w:val="both"/>
    </w:pPr>
    <w:rPr>
      <w:sz w:val="24"/>
      <w:lang w:val="en-GB"/>
    </w:rPr>
  </w:style>
  <w:style w:type="paragraph" w:styleId="BodyText2">
    <w:name w:val="Body Text 2"/>
    <w:basedOn w:val="Normal"/>
    <w:uiPriority w:val="6"/>
    <w:qFormat/>
    <w:pPr>
      <w:spacing w:line="360" w:lineRule="auto"/>
    </w:pPr>
    <w:rPr>
      <w:sz w:val="22"/>
    </w:rPr>
  </w:style>
  <w:style w:type="paragraph" w:styleId="BodyText3">
    <w:name w:val="Body Text 3"/>
    <w:basedOn w:val="Normal"/>
    <w:uiPriority w:val="6"/>
    <w:pPr>
      <w:widowControl w:val="0"/>
      <w:jc w:val="both"/>
    </w:pPr>
    <w:rPr>
      <w:sz w:val="22"/>
    </w:rPr>
  </w:style>
  <w:style w:type="paragraph" w:styleId="BodyTextIndent">
    <w:name w:val="Body Text Indent"/>
    <w:basedOn w:val="Normal"/>
    <w:uiPriority w:val="6"/>
    <w:pPr>
      <w:overflowPunct/>
      <w:autoSpaceDE/>
      <w:autoSpaceDN/>
      <w:adjustRightInd/>
      <w:spacing w:line="360" w:lineRule="auto"/>
      <w:ind w:firstLine="720"/>
      <w:textAlignment w:val="auto"/>
    </w:pPr>
    <w:rPr>
      <w:sz w:val="22"/>
    </w:rPr>
  </w:style>
  <w:style w:type="paragraph" w:styleId="BodyTextIndent2">
    <w:name w:val="Body Text Indent 2"/>
    <w:basedOn w:val="Normal"/>
    <w:uiPriority w:val="6"/>
    <w:pPr>
      <w:ind w:firstLine="709"/>
    </w:pPr>
    <w:rPr>
      <w:sz w:val="22"/>
    </w:rPr>
  </w:style>
  <w:style w:type="paragraph" w:styleId="BodyTextIndent3">
    <w:name w:val="Body Text Indent 3"/>
    <w:basedOn w:val="Normal"/>
    <w:uiPriority w:val="6"/>
    <w:pPr>
      <w:ind w:firstLine="709"/>
    </w:pPr>
    <w:rPr>
      <w:lang w:val="en-US"/>
    </w:rPr>
  </w:style>
  <w:style w:type="character" w:styleId="EndnoteReference">
    <w:name w:val="endnote reference"/>
    <w:basedOn w:val="DefaultParagraphFont"/>
    <w:uiPriority w:val="6"/>
    <w:semiHidden/>
    <w:rPr>
      <w:vertAlign w:val="superscript"/>
    </w:rPr>
  </w:style>
  <w:style w:type="paragraph" w:styleId="EndnoteText">
    <w:name w:val="endnote text"/>
    <w:basedOn w:val="Normal"/>
    <w:uiPriority w:val="6"/>
    <w:semiHidden/>
  </w:style>
  <w:style w:type="paragraph" w:styleId="Footer">
    <w:name w:val="footer"/>
    <w:basedOn w:val="Normal"/>
    <w:uiPriority w:val="6"/>
    <w:pPr>
      <w:tabs>
        <w:tab w:val="center" w:pos="4320"/>
        <w:tab w:val="right" w:pos="8640"/>
      </w:tabs>
    </w:pPr>
  </w:style>
  <w:style w:type="character" w:styleId="FootnoteReference">
    <w:name w:val="footnote reference"/>
    <w:basedOn w:val="DefaultParagraphFont"/>
    <w:uiPriority w:val="6"/>
    <w:semiHidden/>
    <w:rPr>
      <w:vertAlign w:val="superscript"/>
    </w:rPr>
  </w:style>
  <w:style w:type="paragraph" w:styleId="FootnoteText">
    <w:name w:val="footnote text"/>
    <w:basedOn w:val="Normal"/>
    <w:uiPriority w:val="6"/>
    <w:semiHidden/>
    <w:pPr>
      <w:widowControl w:val="0"/>
    </w:pPr>
    <w:rPr>
      <w:lang w:val="en-GB"/>
    </w:rPr>
  </w:style>
  <w:style w:type="paragraph" w:styleId="Header">
    <w:name w:val="header"/>
    <w:basedOn w:val="Normal"/>
    <w:uiPriority w:val="6"/>
    <w:pPr>
      <w:tabs>
        <w:tab w:val="center" w:pos="4320"/>
        <w:tab w:val="right" w:pos="8640"/>
      </w:tabs>
    </w:pPr>
  </w:style>
  <w:style w:type="character" w:styleId="Hyperlink">
    <w:name w:val="Hyperlink"/>
    <w:basedOn w:val="DefaultParagraphFont"/>
    <w:uiPriority w:val="7"/>
    <w:rPr>
      <w:color w:val="0000FF"/>
      <w:u w:val="single"/>
    </w:rPr>
  </w:style>
  <w:style w:type="character" w:styleId="PageNumber">
    <w:name w:val="page number"/>
    <w:basedOn w:val="DefaultParagraphFont"/>
    <w:uiPriority w:val="6"/>
  </w:style>
  <w:style w:type="paragraph" w:styleId="PlainText">
    <w:name w:val="Plain Text"/>
    <w:basedOn w:val="Normal"/>
    <w:uiPriority w:val="6"/>
    <w:rPr>
      <w:rFonts w:ascii="Courier New" w:hAnsi="Courier New"/>
    </w:rPr>
  </w:style>
  <w:style w:type="paragraph" w:styleId="TOC1">
    <w:name w:val="toc 1"/>
    <w:basedOn w:val="Normal"/>
    <w:next w:val="Normal"/>
    <w:uiPriority w:val="4"/>
    <w:semiHidden/>
    <w:pPr>
      <w:tabs>
        <w:tab w:val="right" w:pos="9062"/>
      </w:tabs>
      <w:spacing w:before="360" w:after="360"/>
    </w:pPr>
    <w:rPr>
      <w:rFonts w:ascii="Arial" w:hAnsi="Arial"/>
      <w:caps/>
      <w:sz w:val="28"/>
    </w:rPr>
  </w:style>
  <w:style w:type="paragraph" w:styleId="TOC2">
    <w:name w:val="toc 2"/>
    <w:basedOn w:val="Normal"/>
    <w:next w:val="Normal"/>
    <w:uiPriority w:val="4"/>
    <w:semiHidden/>
    <w:rPr>
      <w:b/>
      <w:smallCaps/>
      <w:sz w:val="22"/>
    </w:rPr>
  </w:style>
  <w:style w:type="paragraph" w:styleId="TOC3">
    <w:name w:val="toc 3"/>
    <w:basedOn w:val="Normal"/>
    <w:next w:val="Normal"/>
    <w:uiPriority w:val="4"/>
    <w:semiHidden/>
    <w:rPr>
      <w:smallCaps/>
      <w:sz w:val="22"/>
    </w:rPr>
  </w:style>
  <w:style w:type="paragraph" w:styleId="TOC4">
    <w:name w:val="toc 4"/>
    <w:basedOn w:val="Normal"/>
    <w:next w:val="Normal"/>
    <w:uiPriority w:val="4"/>
    <w:semiHidden/>
    <w:rPr>
      <w:sz w:val="22"/>
    </w:rPr>
  </w:style>
  <w:style w:type="paragraph" w:styleId="TOC5">
    <w:name w:val="toc 5"/>
    <w:basedOn w:val="Normal"/>
    <w:next w:val="Normal"/>
    <w:uiPriority w:val="4"/>
    <w:semiHidden/>
    <w:rPr>
      <w:sz w:val="22"/>
    </w:rPr>
  </w:style>
  <w:style w:type="paragraph" w:styleId="TOC6">
    <w:name w:val="toc 6"/>
    <w:basedOn w:val="Normal"/>
    <w:next w:val="Normal"/>
    <w:uiPriority w:val="4"/>
    <w:semiHidden/>
    <w:rPr>
      <w:sz w:val="22"/>
    </w:rPr>
  </w:style>
  <w:style w:type="paragraph" w:styleId="TOC7">
    <w:name w:val="toc 7"/>
    <w:basedOn w:val="Normal"/>
    <w:next w:val="Normal"/>
    <w:uiPriority w:val="4"/>
    <w:semiHidden/>
    <w:rPr>
      <w:sz w:val="22"/>
    </w:rPr>
  </w:style>
  <w:style w:type="paragraph" w:styleId="TOC8">
    <w:name w:val="toc 8"/>
    <w:basedOn w:val="Normal"/>
    <w:next w:val="Normal"/>
    <w:uiPriority w:val="4"/>
    <w:semiHidden/>
    <w:rPr>
      <w:sz w:val="22"/>
    </w:rPr>
  </w:style>
  <w:style w:type="paragraph" w:styleId="TOC9">
    <w:name w:val="toc 9"/>
    <w:basedOn w:val="Normal"/>
    <w:next w:val="Normal"/>
    <w:uiPriority w:val="4"/>
    <w:semiHidden/>
    <w:rPr>
      <w:sz w:val="22"/>
    </w:rPr>
  </w:style>
  <w:style w:type="paragraph" w:customStyle="1" w:styleId="Reference">
    <w:name w:val="Reference"/>
    <w:basedOn w:val="Normal"/>
    <w:uiPriority w:val="6"/>
    <w:pPr>
      <w:overflowPunct/>
      <w:autoSpaceDE/>
      <w:autoSpaceDN/>
      <w:adjustRightInd/>
      <w:spacing w:line="360" w:lineRule="auto"/>
      <w:ind w:left="284" w:hanging="284"/>
      <w:textAlignment w:val="auto"/>
    </w:pPr>
  </w:style>
  <w:style w:type="paragraph" w:customStyle="1" w:styleId="Quote1">
    <w:name w:val="Quote1"/>
    <w:basedOn w:val="Normal"/>
    <w:uiPriority w:val="6"/>
    <w:pPr>
      <w:overflowPunct/>
      <w:autoSpaceDE/>
      <w:autoSpaceDN/>
      <w:adjustRightInd/>
      <w:spacing w:after="240" w:line="360" w:lineRule="auto"/>
      <w:ind w:left="567" w:right="851"/>
      <w:jc w:val="both"/>
      <w:textAlignment w:val="auto"/>
    </w:pPr>
    <w:rPr>
      <w:rFonts w:ascii="Arial" w:hAnsi="Arial"/>
      <w:i/>
    </w:rPr>
  </w:style>
  <w:style w:type="paragraph" w:customStyle="1" w:styleId="Table">
    <w:name w:val="Table"/>
    <w:basedOn w:val="Normal"/>
    <w:uiPriority w:val="6"/>
    <w:pPr>
      <w:pBdr>
        <w:bottom w:val="single" w:sz="12" w:space="1" w:color="auto"/>
      </w:pBdr>
      <w:overflowPunct/>
      <w:autoSpaceDE/>
      <w:autoSpaceDN/>
      <w:adjustRightInd/>
      <w:spacing w:after="120" w:line="480" w:lineRule="auto"/>
      <w:textAlignment w:val="auto"/>
    </w:pPr>
    <w:rPr>
      <w:rFonts w:ascii="Arial" w:hAnsi="Arial"/>
      <w:b/>
      <w:i/>
      <w:sz w:val="22"/>
      <w:lang w:val="en-US"/>
    </w:rPr>
  </w:style>
  <w:style w:type="paragraph" w:customStyle="1" w:styleId="BalloonText1">
    <w:name w:val="Balloon Text1"/>
    <w:basedOn w:val="Normal"/>
    <w:uiPriority w:val="6"/>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6557</Words>
  <Characters>37376</Characters>
  <Application>Microsoft Office Word</Application>
  <DocSecurity>0</DocSecurity>
  <Lines>311</Lines>
  <Paragraphs>87</Paragraphs>
  <ScaleCrop>false</ScaleCrop>
  <Company>UTS</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4 Exercise</dc:title>
  <dc:creator>D.WORTH</dc:creator>
  <cp:lastModifiedBy>Iain Mcintyre</cp:lastModifiedBy>
  <cp:revision>2</cp:revision>
  <cp:lastPrinted>2003-06-24T05:24:00Z</cp:lastPrinted>
  <dcterms:created xsi:type="dcterms:W3CDTF">2021-05-06T02:23:00Z</dcterms:created>
  <dcterms:modified xsi:type="dcterms:W3CDTF">2021-05-06T02:23:00Z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