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s695l14q5183" w:id="0"/>
      <w:bookmarkEnd w:id="0"/>
      <w:r w:rsidDel="00000000" w:rsidR="00000000" w:rsidRPr="00000000">
        <w:rPr>
          <w:rtl w:val="0"/>
        </w:rPr>
        <w:t xml:space="preserve">Rapid Response Worksheet</w:t>
      </w:r>
    </w:p>
    <w:p w:rsidR="00000000" w:rsidDel="00000000" w:rsidP="00000000" w:rsidRDefault="00000000" w:rsidRPr="00000000" w14:paraId="00000002">
      <w:pPr>
        <w:rPr>
          <w:rFonts w:ascii="PT Serif" w:cs="PT Serif" w:eastAsia="PT Serif" w:hAnsi="PT Serif"/>
          <w:b w:val="1"/>
          <w:i w:val="1"/>
          <w:color w:val="414042"/>
          <w:sz w:val="15"/>
          <w:szCs w:val="15"/>
        </w:rPr>
      </w:pPr>
      <w:r w:rsidDel="00000000" w:rsidR="00000000" w:rsidRPr="00000000">
        <w:rPr>
          <w:rtl w:val="0"/>
        </w:rPr>
      </w:r>
    </w:p>
    <w:p w:rsidR="00000000" w:rsidDel="00000000" w:rsidP="00000000" w:rsidRDefault="00000000" w:rsidRPr="00000000" w14:paraId="00000003">
      <w:pPr>
        <w:pStyle w:val="Heading2"/>
        <w:rPr>
          <w:rFonts w:ascii="Barlow" w:cs="Barlow" w:eastAsia="Barlow" w:hAnsi="Barlow"/>
          <w:color w:val="414042"/>
        </w:rPr>
      </w:pPr>
      <w:bookmarkStart w:colFirst="0" w:colLast="0" w:name="_1fr3wjp0qgpi" w:id="1"/>
      <w:bookmarkEnd w:id="1"/>
      <w:r w:rsidDel="00000000" w:rsidR="00000000" w:rsidRPr="00000000">
        <w:rPr>
          <w:rtl w:val="0"/>
        </w:rPr>
        <w:t xml:space="preserve">Why this matters</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Taking advantage of rapid response situations is key to narrative change work. Breaking stories capture the public’s attention. When the winds are behind them, a spark can quickly become a wildfire that reconfigures the narrative landscape. If we’re prepared in advance, we can disarm toxic narratives or harness breaking stories to advance our narratives. This worksheet provides a framework for responding doing just that. We encourage you to take some time now to practice using it on rapid response scenarios you anticipate arising in your work. (For example, if you work on environmental issues, consider preparing now for how you might respond to the next oil spill, wildfire, or storm.)</w:t>
      </w:r>
    </w:p>
    <w:p w:rsidR="00000000" w:rsidDel="00000000" w:rsidP="00000000" w:rsidRDefault="00000000" w:rsidRPr="00000000" w14:paraId="00000005">
      <w:pPr>
        <w:rPr>
          <w:rFonts w:ascii="PT Serif" w:cs="PT Serif" w:eastAsia="PT Serif" w:hAnsi="PT Serif"/>
          <w:b w:val="1"/>
          <w:color w:val="414042"/>
          <w:sz w:val="18"/>
          <w:szCs w:val="18"/>
        </w:rPr>
      </w:pPr>
      <w:r w:rsidDel="00000000" w:rsidR="00000000" w:rsidRPr="00000000">
        <w:rPr>
          <w:rtl w:val="0"/>
        </w:rPr>
      </w:r>
    </w:p>
    <w:p w:rsidR="00000000" w:rsidDel="00000000" w:rsidP="00000000" w:rsidRDefault="00000000" w:rsidRPr="00000000" w14:paraId="00000006">
      <w:pPr>
        <w:pStyle w:val="Heading2"/>
        <w:rPr/>
      </w:pPr>
      <w:bookmarkStart w:colFirst="0" w:colLast="0" w:name="_yy2qvnyx0tmm" w:id="2"/>
      <w:bookmarkEnd w:id="2"/>
      <w:r w:rsidDel="00000000" w:rsidR="00000000" w:rsidRPr="00000000">
        <w:rPr>
          <w:rtl w:val="0"/>
        </w:rPr>
        <w:t xml:space="preserve">About the tool</w:t>
      </w:r>
    </w:p>
    <w:p w:rsidR="00000000" w:rsidDel="00000000" w:rsidP="00000000" w:rsidRDefault="00000000" w:rsidRPr="00000000" w14:paraId="00000007">
      <w:pPr>
        <w:rPr>
          <w:rFonts w:ascii="PT Serif" w:cs="PT Serif" w:eastAsia="PT Serif" w:hAnsi="PT Serif"/>
          <w:color w:val="414042"/>
        </w:rPr>
      </w:pPr>
      <w:r w:rsidDel="00000000" w:rsidR="00000000" w:rsidRPr="00000000">
        <w:rPr>
          <w:rtl w:val="0"/>
        </w:rPr>
        <w:t xml:space="preserve">Below</w:t>
      </w:r>
      <w:r w:rsidDel="00000000" w:rsidR="00000000" w:rsidRPr="00000000">
        <w:rPr>
          <w:rFonts w:ascii="PT Serif" w:cs="PT Serif" w:eastAsia="PT Serif" w:hAnsi="PT Serif"/>
          <w:color w:val="414042"/>
          <w:rtl w:val="0"/>
        </w:rPr>
        <w:t xml:space="preserve">, you’ll find a </w:t>
      </w:r>
      <w:r w:rsidDel="00000000" w:rsidR="00000000" w:rsidRPr="00000000">
        <w:rPr>
          <w:rtl w:val="0"/>
        </w:rPr>
        <w:t xml:space="preserve">planning tool</w:t>
      </w:r>
      <w:r w:rsidDel="00000000" w:rsidR="00000000" w:rsidRPr="00000000">
        <w:rPr>
          <w:rFonts w:ascii="PT Serif" w:cs="PT Serif" w:eastAsia="PT Serif" w:hAnsi="PT Serif"/>
          <w:color w:val="414042"/>
          <w:rtl w:val="0"/>
        </w:rPr>
        <w:t xml:space="preserve"> designed by Hattaway Communications in partnership with Narrative Initiative.</w:t>
      </w:r>
      <w:r w:rsidDel="00000000" w:rsidR="00000000" w:rsidRPr="00000000">
        <w:rPr>
          <w:rtl w:val="0"/>
        </w:rPr>
        <w:t xml:space="preserve"> This tool</w:t>
      </w:r>
      <w:r w:rsidDel="00000000" w:rsidR="00000000" w:rsidRPr="00000000">
        <w:rPr>
          <w:rFonts w:ascii="PT Serif" w:cs="PT Serif" w:eastAsia="PT Serif" w:hAnsi="PT Serif"/>
          <w:color w:val="414042"/>
          <w:rtl w:val="0"/>
        </w:rPr>
        <w:t xml:space="preserve"> allows you to think about how to engage specific audience(s) that are strategically important in a rapid response scenario. It could be your own members, a specific set of people in your community, or key persuadables who you hope to persuade away from toxic narratives toward adopting healthy narratives. Following that, you’ll find a sample of how you might use the tool in a real-world situation.</w:t>
      </w:r>
    </w:p>
    <w:p w:rsidR="00000000" w:rsidDel="00000000" w:rsidP="00000000" w:rsidRDefault="00000000" w:rsidRPr="00000000" w14:paraId="00000008">
      <w:pPr>
        <w:rPr>
          <w:rFonts w:ascii="PT Serif" w:cs="PT Serif" w:eastAsia="PT Serif" w:hAnsi="PT Serif"/>
          <w:b w:val="1"/>
          <w:color w:val="414042"/>
          <w:sz w:val="18"/>
          <w:szCs w:val="18"/>
        </w:rPr>
      </w:pPr>
      <w:r w:rsidDel="00000000" w:rsidR="00000000" w:rsidRPr="00000000">
        <w:rPr>
          <w:rtl w:val="0"/>
        </w:rPr>
      </w:r>
    </w:p>
    <w:p w:rsidR="00000000" w:rsidDel="00000000" w:rsidP="00000000" w:rsidRDefault="00000000" w:rsidRPr="00000000" w14:paraId="00000009">
      <w:pPr>
        <w:pStyle w:val="Heading2"/>
        <w:rPr/>
      </w:pPr>
      <w:bookmarkStart w:colFirst="0" w:colLast="0" w:name="_3e0jvx7nn4bq" w:id="3"/>
      <w:bookmarkEnd w:id="3"/>
      <w:r w:rsidDel="00000000" w:rsidR="00000000" w:rsidRPr="00000000">
        <w:rPr>
          <w:rtl w:val="0"/>
        </w:rPr>
        <w:t xml:space="preserve">Anchoring your response in core narratives</w:t>
      </w:r>
    </w:p>
    <w:p w:rsidR="00000000" w:rsidDel="00000000" w:rsidP="00000000" w:rsidRDefault="00000000" w:rsidRPr="00000000" w14:paraId="0000000A">
      <w:pPr>
        <w:rPr>
          <w:rFonts w:ascii="PT Serif" w:cs="PT Serif" w:eastAsia="PT Serif" w:hAnsi="PT Serif"/>
          <w:color w:val="414042"/>
        </w:rPr>
      </w:pPr>
      <w:r w:rsidDel="00000000" w:rsidR="00000000" w:rsidRPr="00000000">
        <w:rPr>
          <w:rFonts w:ascii="PT Serif" w:cs="PT Serif" w:eastAsia="PT Serif" w:hAnsi="PT Serif"/>
          <w:color w:val="414042"/>
          <w:rtl w:val="0"/>
        </w:rPr>
        <w:t xml:space="preserve">Whether you are trying to pivot away from a toxic narrative or take advantage of a breaking story to move our narratives, we encourage you to name the core narratives you hope to advance in every piece of work your organization </w:t>
      </w:r>
      <w:r w:rsidDel="00000000" w:rsidR="00000000" w:rsidRPr="00000000">
        <w:rPr>
          <w:rtl w:val="0"/>
        </w:rPr>
        <w:t xml:space="preserve">is doing around a particular issue.</w:t>
      </w:r>
      <w:r w:rsidDel="00000000" w:rsidR="00000000" w:rsidRPr="00000000">
        <w:rPr>
          <w:rFonts w:ascii="PT Serif" w:cs="PT Serif" w:eastAsia="PT Serif" w:hAnsi="PT Serif"/>
          <w:color w:val="414042"/>
          <w:rtl w:val="0"/>
        </w:rPr>
        <w:t xml:space="preserve"> As an example, we're sharing several </w:t>
      </w:r>
      <w:r w:rsidDel="00000000" w:rsidR="00000000" w:rsidRPr="00000000">
        <w:rPr>
          <w:rtl w:val="0"/>
        </w:rPr>
        <w:t xml:space="preserve">narratives used by our partners at Our Minnesota Future.</w:t>
      </w:r>
      <w:r w:rsidDel="00000000" w:rsidR="00000000" w:rsidRPr="00000000">
        <w:rPr>
          <w:rtl w:val="0"/>
        </w:rPr>
      </w:r>
    </w:p>
    <w:p w:rsidR="00000000" w:rsidDel="00000000" w:rsidP="00000000" w:rsidRDefault="00000000" w:rsidRPr="00000000" w14:paraId="0000000B">
      <w:pPr>
        <w:rPr>
          <w:rFonts w:ascii="PT Serif" w:cs="PT Serif" w:eastAsia="PT Serif" w:hAnsi="PT Serif"/>
          <w:color w:val="414042"/>
        </w:rPr>
      </w:pPr>
      <w:r w:rsidDel="00000000" w:rsidR="00000000" w:rsidRPr="00000000">
        <w:rPr>
          <w:rtl w:val="0"/>
        </w:rPr>
      </w:r>
    </w:p>
    <w:tbl>
      <w:tblPr>
        <w:tblStyle w:val="Table1"/>
        <w:tblW w:w="129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80"/>
        <w:gridCol w:w="6480"/>
        <w:tblGridChange w:id="0">
          <w:tblGrid>
            <w:gridCol w:w="6480"/>
            <w:gridCol w:w="6480"/>
          </w:tblGrid>
        </w:tblGridChange>
      </w:tblGrid>
      <w:tr>
        <w:tc>
          <w:tcPr>
            <w:shd w:fill="662e8f" w:val="clear"/>
            <w:tcMar>
              <w:top w:w="100.0" w:type="dxa"/>
              <w:left w:w="100.0" w:type="dxa"/>
              <w:bottom w:w="100.0" w:type="dxa"/>
              <w:right w:w="100.0" w:type="dxa"/>
            </w:tcMar>
            <w:vAlign w:val="top"/>
          </w:tcPr>
          <w:p w:rsidR="00000000" w:rsidDel="00000000" w:rsidP="00000000" w:rsidRDefault="00000000" w:rsidRPr="00000000" w14:paraId="0000000C">
            <w:pPr>
              <w:pStyle w:val="Heading2"/>
              <w:widowControl w:val="0"/>
              <w:spacing w:line="240" w:lineRule="auto"/>
              <w:rPr>
                <w:color w:val="f7f9fa"/>
              </w:rPr>
            </w:pPr>
            <w:bookmarkStart w:colFirst="0" w:colLast="0" w:name="_g92ieu6pjqv3" w:id="4"/>
            <w:bookmarkEnd w:id="4"/>
            <w:r w:rsidDel="00000000" w:rsidR="00000000" w:rsidRPr="00000000">
              <w:rPr>
                <w:color w:val="f7f9fa"/>
                <w:rtl w:val="0"/>
              </w:rPr>
              <w:t xml:space="preserve">Example Narratives</w:t>
            </w:r>
          </w:p>
        </w:tc>
        <w:tc>
          <w:tcPr>
            <w:shd w:fill="662e8f" w:val="clear"/>
            <w:tcMar>
              <w:top w:w="100.0" w:type="dxa"/>
              <w:left w:w="100.0" w:type="dxa"/>
              <w:bottom w:w="100.0" w:type="dxa"/>
              <w:right w:w="100.0" w:type="dxa"/>
            </w:tcMar>
            <w:vAlign w:val="top"/>
          </w:tcPr>
          <w:p w:rsidR="00000000" w:rsidDel="00000000" w:rsidP="00000000" w:rsidRDefault="00000000" w:rsidRPr="00000000" w14:paraId="0000000D">
            <w:pPr>
              <w:pStyle w:val="Heading2"/>
              <w:widowControl w:val="0"/>
              <w:spacing w:line="240" w:lineRule="auto"/>
              <w:rPr>
                <w:color w:val="f7f9fa"/>
              </w:rPr>
            </w:pPr>
            <w:bookmarkStart w:colFirst="0" w:colLast="0" w:name="_g92ieu6pjqv3" w:id="4"/>
            <w:bookmarkEnd w:id="4"/>
            <w:r w:rsidDel="00000000" w:rsidR="00000000" w:rsidRPr="00000000">
              <w:rPr>
                <w:color w:val="f7f9fa"/>
                <w:rtl w:val="0"/>
              </w:rPr>
              <w:t xml:space="preserve">Your Narratives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color w:val="414042"/>
              </w:rPr>
            </w:pPr>
            <w:r w:rsidDel="00000000" w:rsidR="00000000" w:rsidRPr="00000000">
              <w:rPr>
                <w:rFonts w:ascii="PT Serif" w:cs="PT Serif" w:eastAsia="PT Serif" w:hAnsi="PT Serif"/>
                <w:color w:val="414042"/>
                <w:rtl w:val="0"/>
              </w:rPr>
              <w:t xml:space="preserve">Minnesota does best when we have compassion for one another, especially for our neighbors who are most in need.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color w:val="414042"/>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color w:val="414042"/>
              </w:rPr>
            </w:pPr>
            <w:r w:rsidDel="00000000" w:rsidR="00000000" w:rsidRPr="00000000">
              <w:rPr>
                <w:rFonts w:ascii="PT Serif" w:cs="PT Serif" w:eastAsia="PT Serif" w:hAnsi="PT Serif"/>
                <w:color w:val="414042"/>
                <w:rtl w:val="0"/>
              </w:rPr>
              <w:t xml:space="preserve">Minnesotans do best when everyone in our community is thriving, including the natural world we inhabit.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T Serif" w:cs="PT Serif" w:eastAsia="PT Serif" w:hAnsi="PT Serif"/>
                <w:color w:val="414042"/>
              </w:rPr>
            </w:pPr>
            <w:r w:rsidDel="00000000" w:rsidR="00000000" w:rsidRPr="00000000">
              <w:rPr>
                <w:rtl w:val="0"/>
              </w:rPr>
            </w:r>
          </w:p>
        </w:tc>
      </w:tr>
    </w:tbl>
    <w:p w:rsidR="00000000" w:rsidDel="00000000" w:rsidP="00000000" w:rsidRDefault="00000000" w:rsidRPr="00000000" w14:paraId="00000012">
      <w:pPr>
        <w:rPr>
          <w:rFonts w:ascii="Verdana" w:cs="Verdana" w:eastAsia="Verdana" w:hAnsi="Verdana"/>
          <w:color w:val="3d464d"/>
        </w:rPr>
      </w:pPr>
      <w:r w:rsidDel="00000000" w:rsidR="00000000" w:rsidRPr="00000000">
        <w:rPr>
          <w:rFonts w:ascii="Verdana" w:cs="Verdana" w:eastAsia="Verdana" w:hAnsi="Verdana"/>
          <w:color w:val="3d464d"/>
        </w:rPr>
        <w:drawing>
          <wp:inline distB="114300" distT="114300" distL="114300" distR="114300">
            <wp:extent cx="8201225" cy="5710238"/>
            <wp:effectExtent b="0" l="0" r="0" t="0"/>
            <wp:docPr id="1" name="image4.jpg"/>
            <a:graphic>
              <a:graphicData uri="http://schemas.openxmlformats.org/drawingml/2006/picture">
                <pic:pic>
                  <pic:nvPicPr>
                    <pic:cNvPr id="0" name="image4.jpg"/>
                    <pic:cNvPicPr preferRelativeResize="0"/>
                  </pic:nvPicPr>
                  <pic:blipFill>
                    <a:blip r:embed="rId6"/>
                    <a:srcRect b="523" l="0" r="0" t="523"/>
                    <a:stretch>
                      <a:fillRect/>
                    </a:stretch>
                  </pic:blipFill>
                  <pic:spPr>
                    <a:xfrm>
                      <a:off x="0" y="0"/>
                      <a:ext cx="8201225" cy="571023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Style w:val="Heading1"/>
        <w:rPr/>
      </w:pPr>
      <w:bookmarkStart w:colFirst="0" w:colLast="0" w:name="_a47glctg8v4i" w:id="5"/>
      <w:bookmarkEnd w:id="5"/>
      <w:r w:rsidDel="00000000" w:rsidR="00000000" w:rsidRPr="00000000">
        <w:rPr>
          <w:rtl w:val="0"/>
        </w:rPr>
        <w:t xml:space="preserve">Sample Rapid Response Worksheet</w:t>
      </w:r>
    </w:p>
    <w:p w:rsidR="00000000" w:rsidDel="00000000" w:rsidP="00000000" w:rsidRDefault="00000000" w:rsidRPr="00000000" w14:paraId="00000014">
      <w:pPr>
        <w:ind w:right="7200"/>
        <w:rPr>
          <w:rFonts w:ascii="PT Serif" w:cs="PT Serif" w:eastAsia="PT Serif" w:hAnsi="PT Serif"/>
          <w:b w:val="1"/>
          <w:color w:val="0b5394"/>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1648256</wp:posOffset>
            </wp:positionH>
            <wp:positionV relativeFrom="paragraph">
              <wp:posOffset>114300</wp:posOffset>
            </wp:positionV>
            <wp:extent cx="6600394" cy="4662488"/>
            <wp:effectExtent b="0" l="0" r="0" t="0"/>
            <wp:wrapSquare wrapText="bothSides" distB="114300" distT="114300" distL="114300" distR="114300"/>
            <wp:docPr id="6"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6600394" cy="4662488"/>
                    </a:xfrm>
                    <a:prstGeom prst="rect"/>
                    <a:ln/>
                  </pic:spPr>
                </pic:pic>
              </a:graphicData>
            </a:graphic>
          </wp:anchor>
        </w:drawing>
      </w:r>
    </w:p>
    <w:p w:rsidR="00000000" w:rsidDel="00000000" w:rsidP="00000000" w:rsidRDefault="00000000" w:rsidRPr="00000000" w14:paraId="00000015">
      <w:pPr>
        <w:rPr>
          <w:rFonts w:ascii="PT Serif" w:cs="PT Serif" w:eastAsia="PT Serif" w:hAnsi="PT Serif"/>
          <w:sz w:val="24"/>
          <w:szCs w:val="24"/>
        </w:rPr>
      </w:pPr>
      <w:r w:rsidDel="00000000" w:rsidR="00000000" w:rsidRPr="00000000">
        <w:rPr>
          <w:rFonts w:ascii="PT Serif" w:cs="PT Serif" w:eastAsia="PT Serif" w:hAnsi="PT Serif"/>
          <w:b w:val="1"/>
          <w:sz w:val="24"/>
          <w:szCs w:val="24"/>
          <w:rtl w:val="0"/>
        </w:rPr>
        <w:t xml:space="preserve">Scenario:</w:t>
      </w:r>
      <w:r w:rsidDel="00000000" w:rsidR="00000000" w:rsidRPr="00000000">
        <w:rPr>
          <w:rFonts w:ascii="PT Serif" w:cs="PT Serif" w:eastAsia="PT Serif" w:hAnsi="PT Serif"/>
          <w:sz w:val="24"/>
          <w:szCs w:val="24"/>
          <w:rtl w:val="0"/>
        </w:rPr>
        <w:t xml:space="preserve"> Fox9 does a special report alleging that child care centers operated by Somali immigrants have defrauded the </w:t>
      </w:r>
    </w:p>
    <w:p w:rsidR="00000000" w:rsidDel="00000000" w:rsidP="00000000" w:rsidRDefault="00000000" w:rsidRPr="00000000" w14:paraId="00000016">
      <w:pPr>
        <w:rPr>
          <w:rFonts w:ascii="PT Serif" w:cs="PT Serif" w:eastAsia="PT Serif" w:hAnsi="PT Serif"/>
          <w:sz w:val="24"/>
          <w:szCs w:val="24"/>
        </w:rPr>
      </w:pPr>
      <w:r w:rsidDel="00000000" w:rsidR="00000000" w:rsidRPr="00000000">
        <w:rPr>
          <w:rFonts w:ascii="PT Serif" w:cs="PT Serif" w:eastAsia="PT Serif" w:hAnsi="PT Serif"/>
          <w:sz w:val="24"/>
          <w:szCs w:val="24"/>
          <w:rtl w:val="0"/>
        </w:rPr>
        <w:t xml:space="preserve">government of $100 million and sent that money to terrorists. </w:t>
      </w:r>
    </w:p>
    <w:p w:rsidR="00000000" w:rsidDel="00000000" w:rsidP="00000000" w:rsidRDefault="00000000" w:rsidRPr="00000000" w14:paraId="00000017">
      <w:pPr>
        <w:ind w:right="7200"/>
        <w:rPr>
          <w:rFonts w:ascii="PT Serif" w:cs="PT Serif" w:eastAsia="PT Serif" w:hAnsi="PT Serif"/>
          <w:b w:val="1"/>
          <w:color w:val="3d464d"/>
          <w:sz w:val="24"/>
          <w:szCs w:val="24"/>
        </w:rPr>
      </w:pPr>
      <w:r w:rsidDel="00000000" w:rsidR="00000000" w:rsidRPr="00000000">
        <w:rPr>
          <w:rtl w:val="0"/>
        </w:rPr>
      </w:r>
    </w:p>
    <w:p w:rsidR="00000000" w:rsidDel="00000000" w:rsidP="00000000" w:rsidRDefault="00000000" w:rsidRPr="00000000" w14:paraId="00000018">
      <w:pPr>
        <w:rPr>
          <w:rFonts w:ascii="PT Serif" w:cs="PT Serif" w:eastAsia="PT Serif" w:hAnsi="PT Serif"/>
          <w:b w:val="1"/>
          <w:sz w:val="24"/>
          <w:szCs w:val="24"/>
        </w:rPr>
      </w:pPr>
      <w:r w:rsidDel="00000000" w:rsidR="00000000" w:rsidRPr="00000000">
        <w:rPr>
          <w:rFonts w:ascii="PT Serif" w:cs="PT Serif" w:eastAsia="PT Serif" w:hAnsi="PT Serif"/>
          <w:b w:val="1"/>
          <w:sz w:val="24"/>
          <w:szCs w:val="24"/>
          <w:rtl w:val="0"/>
        </w:rPr>
        <w:t xml:space="preserve">A note on audience </w:t>
      </w:r>
    </w:p>
    <w:p w:rsidR="00000000" w:rsidDel="00000000" w:rsidP="00000000" w:rsidRDefault="00000000" w:rsidRPr="00000000" w14:paraId="00000019">
      <w:pPr>
        <w:rPr/>
      </w:pPr>
      <w:r w:rsidDel="00000000" w:rsidR="00000000" w:rsidRPr="00000000">
        <w:rPr>
          <w:rFonts w:ascii="PT Serif" w:cs="PT Serif" w:eastAsia="PT Serif" w:hAnsi="PT Serif"/>
          <w:b w:val="1"/>
          <w:sz w:val="24"/>
          <w:szCs w:val="24"/>
          <w:rtl w:val="0"/>
        </w:rPr>
        <w:t xml:space="preserve">selection: </w:t>
      </w:r>
      <w:r w:rsidDel="00000000" w:rsidR="00000000" w:rsidRPr="00000000">
        <w:rPr>
          <w:rFonts w:ascii="PT Serif" w:cs="PT Serif" w:eastAsia="PT Serif" w:hAnsi="PT Serif"/>
          <w:sz w:val="24"/>
          <w:szCs w:val="24"/>
          <w:rtl w:val="0"/>
        </w:rPr>
        <w:t xml:space="preserve">In this scenario and others, we may want to engage different audiences to take different actions. </w:t>
      </w:r>
      <w:r w:rsidDel="00000000" w:rsidR="00000000" w:rsidRPr="00000000">
        <w:rPr>
          <w:sz w:val="24"/>
          <w:szCs w:val="24"/>
          <w:rtl w:val="0"/>
        </w:rPr>
        <w:t xml:space="preserve">Here, </w:t>
      </w:r>
      <w:r w:rsidDel="00000000" w:rsidR="00000000" w:rsidRPr="00000000">
        <w:rPr>
          <w:rFonts w:ascii="PT Serif" w:cs="PT Serif" w:eastAsia="PT Serif" w:hAnsi="PT Serif"/>
          <w:sz w:val="24"/>
          <w:szCs w:val="24"/>
          <w:rtl w:val="0"/>
        </w:rPr>
        <w:t xml:space="preserve">we choose largely white persuadables, who are the likely target of political actors aligned with </w:t>
      </w:r>
      <w:r w:rsidDel="00000000" w:rsidR="00000000" w:rsidRPr="00000000">
        <w:rPr>
          <w:rFonts w:ascii="PT Serif" w:cs="PT Serif" w:eastAsia="PT Serif" w:hAnsi="PT Serif"/>
          <w:sz w:val="24"/>
          <w:szCs w:val="24"/>
          <w:rtl w:val="0"/>
        </w:rPr>
        <w:t xml:space="preserve">Fox9</w:t>
      </w:r>
      <w:r w:rsidDel="00000000" w:rsidR="00000000" w:rsidRPr="00000000">
        <w:rPr>
          <w:sz w:val="24"/>
          <w:szCs w:val="24"/>
          <w:rtl w:val="0"/>
        </w:rPr>
        <w:t xml:space="preserve">.</w:t>
      </w:r>
      <w:r w:rsidDel="00000000" w:rsidR="00000000" w:rsidRPr="00000000">
        <w:rPr>
          <w:rtl w:val="0"/>
        </w:rPr>
      </w:r>
    </w:p>
    <w:sectPr>
      <w:headerReference r:id="rId8" w:type="default"/>
      <w:headerReference r:id="rId9" w:type="first"/>
      <w:footerReference r:id="rId10" w:type="default"/>
      <w:footerReference r:id="rId11" w:type="first"/>
      <w:pgSz w:h="12240" w:w="15840"/>
      <w:pgMar w:bottom="810" w:top="1260" w:left="1440" w:right="1440" w:header="720" w:footer="57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Semi Condense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Barlow">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spacing w:after="0" w:before="0" w:line="360" w:lineRule="auto"/>
      <w:jc w:val="both"/>
      <w:rPr/>
    </w:pPr>
    <w:r w:rsidDel="00000000" w:rsidR="00000000" w:rsidRPr="00000000">
      <w:rPr>
        <w:sz w:val="20"/>
        <w:szCs w:val="20"/>
        <w:rtl w:val="0"/>
      </w:rPr>
      <w:t xml:space="preserve">Created by </w:t>
    </w:r>
    <w:hyperlink r:id="rId1">
      <w:r w:rsidDel="00000000" w:rsidR="00000000" w:rsidRPr="00000000">
        <w:rPr>
          <w:b w:val="1"/>
          <w:color w:val="29a3cf"/>
          <w:sz w:val="20"/>
          <w:szCs w:val="20"/>
          <w:u w:val="single"/>
          <w:rtl w:val="0"/>
        </w:rPr>
        <w:t xml:space="preserve">Narrative Initiative</w:t>
      </w:r>
    </w:hyperlink>
    <w:r w:rsidDel="00000000" w:rsidR="00000000" w:rsidRPr="00000000">
      <w:rPr>
        <w:sz w:val="20"/>
        <w:szCs w:val="20"/>
        <w:rtl w:val="0"/>
      </w:rPr>
      <w:t xml:space="preserve"> and </w:t>
    </w:r>
    <w:hyperlink r:id="rId2">
      <w:r w:rsidDel="00000000" w:rsidR="00000000" w:rsidRPr="00000000">
        <w:rPr>
          <w:b w:val="1"/>
          <w:color w:val="29a3cf"/>
          <w:sz w:val="20"/>
          <w:szCs w:val="20"/>
          <w:u w:val="single"/>
          <w:rtl w:val="0"/>
        </w:rPr>
        <w:t xml:space="preserve">Hattaway Communications</w:t>
      </w:r>
    </w:hyperlink>
    <w:r w:rsidDel="00000000" w:rsidR="00000000" w:rsidRPr="00000000">
      <w:rPr>
        <w:rtl w:val="0"/>
      </w:rPr>
      <w:t xml:space="preserve">                                                                                           </w:t>
      <w:br w:type="textWrapping"/>
    </w:r>
    <w:hyperlink r:id="rId3">
      <w:r w:rsidDel="00000000" w:rsidR="00000000" w:rsidRPr="00000000">
        <w:rPr>
          <w:color w:val="29a3cf"/>
          <w:sz w:val="20"/>
          <w:szCs w:val="20"/>
          <w:u w:val="single"/>
          <w:rtl w:val="0"/>
        </w:rPr>
        <w:t xml:space="preserve">Creative Commons Attribution 4.0</w:t>
      </w:r>
    </w:hyperlink>
    <w:hyperlink r:id="rId4">
      <w:r w:rsidDel="00000000" w:rsidR="00000000" w:rsidRPr="00000000">
        <w:rPr>
          <w:color w:val="1155cc"/>
          <w:u w:val="single"/>
          <w:rtl w:val="0"/>
        </w:rPr>
        <w:t xml:space="preserve"> </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1990725</wp:posOffset>
          </wp:positionH>
          <wp:positionV relativeFrom="paragraph">
            <wp:posOffset>266700</wp:posOffset>
          </wp:positionV>
          <wp:extent cx="190500" cy="190500"/>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2238375</wp:posOffset>
          </wp:positionH>
          <wp:positionV relativeFrom="paragraph">
            <wp:posOffset>266700</wp:posOffset>
          </wp:positionV>
          <wp:extent cx="190500" cy="190500"/>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90500" cy="1905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spacing w:line="360" w:lineRule="auto"/>
      <w:jc w:val="both"/>
      <w:rPr/>
    </w:pPr>
    <w:r w:rsidDel="00000000" w:rsidR="00000000" w:rsidRPr="00000000">
      <w:rPr>
        <w:sz w:val="20"/>
        <w:szCs w:val="20"/>
        <w:rtl w:val="0"/>
      </w:rPr>
      <w:t xml:space="preserve">Created by </w:t>
    </w:r>
    <w:hyperlink r:id="rId1">
      <w:r w:rsidDel="00000000" w:rsidR="00000000" w:rsidRPr="00000000">
        <w:rPr>
          <w:b w:val="1"/>
          <w:color w:val="29a3cf"/>
          <w:sz w:val="20"/>
          <w:szCs w:val="20"/>
          <w:u w:val="single"/>
          <w:rtl w:val="0"/>
        </w:rPr>
        <w:t xml:space="preserve">Narrative Initiative</w:t>
      </w:r>
    </w:hyperlink>
    <w:r w:rsidDel="00000000" w:rsidR="00000000" w:rsidRPr="00000000">
      <w:rPr>
        <w:sz w:val="20"/>
        <w:szCs w:val="20"/>
        <w:rtl w:val="0"/>
      </w:rPr>
      <w:t xml:space="preserve"> and </w:t>
    </w:r>
    <w:hyperlink r:id="rId2">
      <w:r w:rsidDel="00000000" w:rsidR="00000000" w:rsidRPr="00000000">
        <w:rPr>
          <w:b w:val="1"/>
          <w:color w:val="29a3cf"/>
          <w:sz w:val="20"/>
          <w:szCs w:val="20"/>
          <w:u w:val="single"/>
          <w:rtl w:val="0"/>
        </w:rPr>
        <w:t xml:space="preserve">Hattaway Communications</w:t>
      </w:r>
    </w:hyperlink>
    <w:r w:rsidDel="00000000" w:rsidR="00000000" w:rsidRPr="00000000">
      <w:rPr>
        <w:rtl w:val="0"/>
      </w:rPr>
      <w:t xml:space="preserve">                                                                                           </w:t>
      <w:br w:type="textWrapping"/>
    </w:r>
    <w:hyperlink r:id="rId3">
      <w:r w:rsidDel="00000000" w:rsidR="00000000" w:rsidRPr="00000000">
        <w:rPr>
          <w:color w:val="29a3cf"/>
          <w:sz w:val="20"/>
          <w:szCs w:val="20"/>
          <w:u w:val="single"/>
          <w:rtl w:val="0"/>
        </w:rPr>
        <w:t xml:space="preserve">Creative Commons Attribution 4.0</w:t>
      </w:r>
    </w:hyperlink>
    <w:hyperlink r:id="rId4">
      <w:r w:rsidDel="00000000" w:rsidR="00000000" w:rsidRPr="00000000">
        <w:rPr>
          <w:color w:val="1155cc"/>
          <w:u w:val="single"/>
          <w:rtl w:val="0"/>
        </w:rPr>
        <w:t xml:space="preserve"> </w:t>
      </w:r>
    </w:hyperlink>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1975644</wp:posOffset>
          </wp:positionH>
          <wp:positionV relativeFrom="paragraph">
            <wp:posOffset>247650</wp:posOffset>
          </wp:positionV>
          <wp:extent cx="190500" cy="190500"/>
          <wp:effectExtent b="0" l="0" r="0" t="0"/>
          <wp:wrapSquare wrapText="bothSides" distB="0" distT="0" distL="0" distR="0"/>
          <wp:docPr id="4"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190500" cy="190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2213451</wp:posOffset>
          </wp:positionH>
          <wp:positionV relativeFrom="paragraph">
            <wp:posOffset>247650</wp:posOffset>
          </wp:positionV>
          <wp:extent cx="190500" cy="190500"/>
          <wp:effectExtent b="0" l="0" r="0" t="0"/>
          <wp:wrapSquare wrapText="bothSides" distB="0" distT="0" distL="0" distR="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90500" cy="1905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-257174</wp:posOffset>
          </wp:positionV>
          <wp:extent cx="8229600" cy="279400"/>
          <wp:effectExtent b="0" l="0" r="0" t="0"/>
          <wp:wrapTopAndBottom distB="114300" distT="114300"/>
          <wp:docPr id="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229600" cy="2794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color w:val="414042"/>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Barlow Semi Condensed" w:cs="Barlow Semi Condensed" w:eastAsia="Barlow Semi Condensed" w:hAnsi="Barlow Semi Condensed"/>
      <w:b w:val="1"/>
      <w:color w:val="662e8f"/>
      <w:sz w:val="72"/>
      <w:szCs w:val="72"/>
    </w:rPr>
  </w:style>
  <w:style w:type="paragraph" w:styleId="Heading2">
    <w:name w:val="heading 2"/>
    <w:basedOn w:val="Normal"/>
    <w:next w:val="Normal"/>
    <w:pPr>
      <w:keepNext w:val="1"/>
      <w:keepLines w:val="1"/>
    </w:pPr>
    <w:rPr>
      <w:rFonts w:ascii="Barlow" w:cs="Barlow" w:eastAsia="Barlow" w:hAnsi="Barlow"/>
      <w:b w:val="1"/>
      <w:color w:val="414042"/>
      <w:sz w:val="28"/>
      <w:szCs w:val="28"/>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Roboto" w:cs="Roboto" w:eastAsia="Roboto" w:hAnsi="Roboto"/>
      <w:b w:val="1"/>
      <w:color w:val="000000"/>
      <w:sz w:val="36"/>
      <w:szCs w:val="36"/>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5.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BarlowSemiCondensed-italic.ttf"/><Relationship Id="rId10" Type="http://schemas.openxmlformats.org/officeDocument/2006/relationships/font" Target="fonts/BarlowSemiCondensed-bold.ttf"/><Relationship Id="rId13" Type="http://schemas.openxmlformats.org/officeDocument/2006/relationships/font" Target="fonts/Barlow-regular.ttf"/><Relationship Id="rId12" Type="http://schemas.openxmlformats.org/officeDocument/2006/relationships/font" Target="fonts/BarlowSemiCondensed-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BarlowSemiCondensed-regular.ttf"/><Relationship Id="rId15" Type="http://schemas.openxmlformats.org/officeDocument/2006/relationships/font" Target="fonts/Barlow-italic.ttf"/><Relationship Id="rId14" Type="http://schemas.openxmlformats.org/officeDocument/2006/relationships/font" Target="fonts/Barlow-bold.ttf"/><Relationship Id="rId16" Type="http://schemas.openxmlformats.org/officeDocument/2006/relationships/font" Target="fonts/Barlow-boldItalic.ttf"/><Relationship Id="rId5" Type="http://schemas.openxmlformats.org/officeDocument/2006/relationships/font" Target="fonts/PTSerif-regular.ttf"/><Relationship Id="rId6" Type="http://schemas.openxmlformats.org/officeDocument/2006/relationships/font" Target="fonts/PTSerif-bold.ttf"/><Relationship Id="rId7" Type="http://schemas.openxmlformats.org/officeDocument/2006/relationships/font" Target="fonts/PTSerif-italic.ttf"/><Relationship Id="rId8" Type="http://schemas.openxmlformats.org/officeDocument/2006/relationships/font" Target="fonts/PTSerif-boldItalic.ttf"/></Relationships>
</file>

<file path=word/_rels/footer1.xml.rels><?xml version="1.0" encoding="UTF-8" standalone="yes"?><Relationships xmlns="http://schemas.openxmlformats.org/package/2006/relationships"><Relationship Id="rId1" Type="http://schemas.openxmlformats.org/officeDocument/2006/relationships/hyperlink" Target="http://narrativeinitiative.org" TargetMode="External"/><Relationship Id="rId2" Type="http://schemas.openxmlformats.org/officeDocument/2006/relationships/hyperlink" Target="http://www.hattaway.com/" TargetMode="External"/><Relationship Id="rId3" Type="http://schemas.openxmlformats.org/officeDocument/2006/relationships/hyperlink" Target="https://creativecommons.org/licenses/by/4.0/" TargetMode="External"/><Relationship Id="rId4" Type="http://schemas.openxmlformats.org/officeDocument/2006/relationships/hyperlink" Target="https://creativecommons.org/licenses/by/4.0/" TargetMode="External"/><Relationship Id="rId5" Type="http://schemas.openxmlformats.org/officeDocument/2006/relationships/image" Target="media/image3.png"/><Relationship Id="rId6"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narrativeinitiative.org" TargetMode="External"/><Relationship Id="rId2" Type="http://schemas.openxmlformats.org/officeDocument/2006/relationships/hyperlink" Target="http://www.hattaway.com/" TargetMode="External"/><Relationship Id="rId3" Type="http://schemas.openxmlformats.org/officeDocument/2006/relationships/hyperlink" Target="https://creativecommons.org/licenses/by/4.0/" TargetMode="External"/><Relationship Id="rId4" Type="http://schemas.openxmlformats.org/officeDocument/2006/relationships/hyperlink" Target="https://creativecommons.org/licenses/by/4.0/" TargetMode="External"/><Relationship Id="rId5" Type="http://schemas.openxmlformats.org/officeDocument/2006/relationships/image" Target="media/image3.png"/><Relationship Id="rId6"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